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5B" w:rsidRPr="00AE656B" w:rsidRDefault="00DF49A7" w:rsidP="003966FA">
      <w:pPr>
        <w:spacing w:after="0" w:line="240" w:lineRule="auto"/>
        <w:jc w:val="both"/>
        <w:rPr>
          <w:rFonts w:ascii="Arial" w:hAnsi="Arial" w:cs="Arial"/>
          <w:b/>
          <w:sz w:val="24"/>
          <w:szCs w:val="24"/>
        </w:rPr>
      </w:pPr>
      <w:r w:rsidRPr="00AE656B">
        <w:rPr>
          <w:rFonts w:ascii="Arial" w:hAnsi="Arial" w:cs="Arial"/>
          <w:b/>
          <w:sz w:val="24"/>
          <w:szCs w:val="24"/>
        </w:rPr>
        <w:t xml:space="preserve">DICTAMEN A LA INICIATIVA CON PROYECTO DE DECRETO QUE </w:t>
      </w:r>
      <w:r w:rsidR="00E337E6" w:rsidRPr="00AE656B">
        <w:rPr>
          <w:rFonts w:ascii="Arial" w:hAnsi="Arial" w:cs="Arial"/>
          <w:b/>
          <w:sz w:val="24"/>
          <w:szCs w:val="24"/>
        </w:rPr>
        <w:t xml:space="preserve">ADICIONA EL CAPITULO III AL TITULO SEXTO DE LA LEY DE LOS DERECHOS DE LAS PERSONAS ADULTAS </w:t>
      </w:r>
      <w:r w:rsidR="002C737C" w:rsidRPr="00AE656B">
        <w:rPr>
          <w:rFonts w:ascii="Arial" w:hAnsi="Arial" w:cs="Arial"/>
          <w:b/>
          <w:sz w:val="24"/>
          <w:szCs w:val="24"/>
        </w:rPr>
        <w:t>MAYORES</w:t>
      </w:r>
      <w:r w:rsidR="002C737C">
        <w:rPr>
          <w:rFonts w:ascii="Arial" w:hAnsi="Arial" w:cs="Arial"/>
          <w:b/>
          <w:sz w:val="24"/>
          <w:szCs w:val="24"/>
        </w:rPr>
        <w:t xml:space="preserve"> A CARGO DEL DIPUTADO JOSÉ LUIS OROZCO SÁNCHEZ ALDANA</w:t>
      </w:r>
      <w:r w:rsidR="003C0C5B">
        <w:rPr>
          <w:rFonts w:ascii="Arial" w:hAnsi="Arial" w:cs="Arial"/>
          <w:b/>
          <w:sz w:val="24"/>
          <w:szCs w:val="24"/>
        </w:rPr>
        <w:t xml:space="preserve"> DEL GRUPO PARLAMENTARIO DEL PARTIDO REVOLUCIONARIO INSTITUCIONAL.</w:t>
      </w:r>
    </w:p>
    <w:p w:rsidR="00A77095" w:rsidRDefault="00A77095" w:rsidP="003966FA">
      <w:pPr>
        <w:spacing w:after="0" w:line="240" w:lineRule="auto"/>
        <w:jc w:val="both"/>
        <w:rPr>
          <w:rFonts w:ascii="Arial" w:hAnsi="Arial" w:cs="Arial"/>
          <w:b/>
          <w:sz w:val="24"/>
          <w:szCs w:val="24"/>
        </w:rPr>
      </w:pPr>
    </w:p>
    <w:p w:rsidR="003966FA" w:rsidRPr="00AE656B" w:rsidRDefault="003966FA" w:rsidP="003966FA">
      <w:pPr>
        <w:spacing w:after="0" w:line="240" w:lineRule="auto"/>
        <w:jc w:val="both"/>
        <w:rPr>
          <w:rFonts w:ascii="Arial" w:hAnsi="Arial" w:cs="Arial"/>
          <w:b/>
          <w:sz w:val="24"/>
          <w:szCs w:val="24"/>
        </w:rPr>
      </w:pPr>
    </w:p>
    <w:p w:rsidR="00FB6A4B" w:rsidRDefault="00FB6A4B" w:rsidP="003966FA">
      <w:pPr>
        <w:spacing w:after="0" w:line="240" w:lineRule="auto"/>
        <w:jc w:val="both"/>
        <w:rPr>
          <w:rFonts w:ascii="Arial" w:hAnsi="Arial" w:cs="Arial"/>
          <w:b/>
          <w:sz w:val="24"/>
          <w:szCs w:val="24"/>
        </w:rPr>
      </w:pPr>
      <w:r w:rsidRPr="00AE656B">
        <w:rPr>
          <w:rFonts w:ascii="Arial" w:hAnsi="Arial" w:cs="Arial"/>
          <w:b/>
          <w:sz w:val="24"/>
          <w:szCs w:val="24"/>
        </w:rPr>
        <w:t>Honorable Asamblea</w:t>
      </w:r>
    </w:p>
    <w:p w:rsidR="003966FA" w:rsidRPr="00AE656B" w:rsidRDefault="003966FA" w:rsidP="003966FA">
      <w:pPr>
        <w:spacing w:after="0" w:line="240" w:lineRule="auto"/>
        <w:jc w:val="both"/>
        <w:rPr>
          <w:rFonts w:ascii="Arial" w:hAnsi="Arial" w:cs="Arial"/>
          <w:b/>
          <w:sz w:val="24"/>
          <w:szCs w:val="24"/>
        </w:rPr>
      </w:pPr>
    </w:p>
    <w:p w:rsidR="00DF49A7" w:rsidRPr="00AE656B" w:rsidRDefault="00627B0C" w:rsidP="003966FA">
      <w:pPr>
        <w:spacing w:after="0" w:line="240" w:lineRule="auto"/>
        <w:jc w:val="both"/>
        <w:rPr>
          <w:rFonts w:ascii="Arial" w:hAnsi="Arial" w:cs="Arial"/>
          <w:b/>
          <w:sz w:val="24"/>
          <w:szCs w:val="24"/>
        </w:rPr>
      </w:pPr>
      <w:r w:rsidRPr="00AE656B">
        <w:rPr>
          <w:rFonts w:ascii="Arial" w:hAnsi="Arial" w:cs="Arial"/>
          <w:sz w:val="24"/>
          <w:szCs w:val="24"/>
        </w:rPr>
        <w:t xml:space="preserve">A la Comisión de </w:t>
      </w:r>
      <w:r w:rsidR="008053C2" w:rsidRPr="00AE656B">
        <w:rPr>
          <w:rFonts w:ascii="Arial" w:hAnsi="Arial" w:cs="Arial"/>
          <w:sz w:val="24"/>
          <w:szCs w:val="24"/>
        </w:rPr>
        <w:t xml:space="preserve">Atención a </w:t>
      </w:r>
      <w:r w:rsidRPr="00AE656B">
        <w:rPr>
          <w:rFonts w:ascii="Arial" w:hAnsi="Arial" w:cs="Arial"/>
          <w:sz w:val="24"/>
          <w:szCs w:val="24"/>
        </w:rPr>
        <w:t>Grupos Vulnerables</w:t>
      </w:r>
      <w:r w:rsidR="00DF49A7" w:rsidRPr="00AE656B">
        <w:rPr>
          <w:rFonts w:ascii="Arial" w:hAnsi="Arial" w:cs="Arial"/>
          <w:sz w:val="24"/>
          <w:szCs w:val="24"/>
        </w:rPr>
        <w:t>, de esta Cámara de Diputados de la LXII</w:t>
      </w:r>
      <w:r w:rsidR="00FB6A4B" w:rsidRPr="00AE656B">
        <w:rPr>
          <w:rFonts w:ascii="Arial" w:hAnsi="Arial" w:cs="Arial"/>
          <w:sz w:val="24"/>
          <w:szCs w:val="24"/>
        </w:rPr>
        <w:t>I</w:t>
      </w:r>
      <w:r w:rsidR="00DF49A7" w:rsidRPr="00AE656B">
        <w:rPr>
          <w:rFonts w:ascii="Arial" w:hAnsi="Arial" w:cs="Arial"/>
          <w:sz w:val="24"/>
          <w:szCs w:val="24"/>
        </w:rPr>
        <w:t xml:space="preserve"> Legislatura del Honorable Congreso de la Unión, co</w:t>
      </w:r>
      <w:r w:rsidR="006E0F92" w:rsidRPr="00AE656B">
        <w:rPr>
          <w:rFonts w:ascii="Arial" w:hAnsi="Arial" w:cs="Arial"/>
          <w:sz w:val="24"/>
          <w:szCs w:val="24"/>
        </w:rPr>
        <w:t>n fundamento en los artículos 39</w:t>
      </w:r>
      <w:r w:rsidR="00ED3DB4" w:rsidRPr="00AE656B">
        <w:rPr>
          <w:rFonts w:ascii="Arial" w:hAnsi="Arial" w:cs="Arial"/>
          <w:sz w:val="24"/>
          <w:szCs w:val="24"/>
        </w:rPr>
        <w:t xml:space="preserve"> numerales 1 y 2</w:t>
      </w:r>
      <w:r w:rsidR="00456751" w:rsidRPr="00AE656B">
        <w:rPr>
          <w:rFonts w:ascii="Arial" w:hAnsi="Arial" w:cs="Arial"/>
          <w:sz w:val="24"/>
          <w:szCs w:val="24"/>
        </w:rPr>
        <w:t xml:space="preserve"> fracción V</w:t>
      </w:r>
      <w:r w:rsidR="008053C2" w:rsidRPr="00AE656B">
        <w:rPr>
          <w:rFonts w:ascii="Arial" w:hAnsi="Arial" w:cs="Arial"/>
          <w:sz w:val="24"/>
          <w:szCs w:val="24"/>
        </w:rPr>
        <w:t>II</w:t>
      </w:r>
      <w:r w:rsidR="00DF49A7" w:rsidRPr="00AE656B">
        <w:rPr>
          <w:rFonts w:ascii="Arial" w:hAnsi="Arial" w:cs="Arial"/>
          <w:sz w:val="24"/>
          <w:szCs w:val="24"/>
        </w:rPr>
        <w:t xml:space="preserve">; y 45, numeral 6, incisos e), f) y g), de la Ley Orgánica del Congreso General de los Estados Unidos Mexicanos, así como los artículos 80, numeral 1, fracción II; 157, numeral 1, fracción I y 158 numeral 1, fracción IV, del Reglamento de la Cámara de Diputados, someten a consideración de este Pleno el presente dictamen </w:t>
      </w:r>
      <w:r w:rsidR="003966FA">
        <w:rPr>
          <w:rFonts w:ascii="Arial" w:hAnsi="Arial" w:cs="Arial"/>
          <w:sz w:val="24"/>
          <w:szCs w:val="24"/>
        </w:rPr>
        <w:t xml:space="preserve">en sentido negativo, </w:t>
      </w:r>
      <w:r w:rsidR="00DF49A7" w:rsidRPr="00AE656B">
        <w:rPr>
          <w:rFonts w:ascii="Arial" w:hAnsi="Arial" w:cs="Arial"/>
          <w:sz w:val="24"/>
          <w:szCs w:val="24"/>
        </w:rPr>
        <w:t>al tenor de los siguientes:</w:t>
      </w:r>
    </w:p>
    <w:p w:rsidR="00DF49A7" w:rsidRDefault="00DF49A7" w:rsidP="003966FA">
      <w:pPr>
        <w:spacing w:after="0" w:line="240" w:lineRule="auto"/>
        <w:jc w:val="both"/>
        <w:rPr>
          <w:rFonts w:ascii="Arial" w:hAnsi="Arial" w:cs="Arial"/>
          <w:sz w:val="24"/>
          <w:szCs w:val="24"/>
        </w:rPr>
      </w:pPr>
    </w:p>
    <w:p w:rsidR="003966FA" w:rsidRPr="00AE656B" w:rsidRDefault="003966FA" w:rsidP="003966FA">
      <w:pPr>
        <w:spacing w:after="0" w:line="240" w:lineRule="auto"/>
        <w:jc w:val="both"/>
        <w:rPr>
          <w:rFonts w:ascii="Arial" w:hAnsi="Arial" w:cs="Arial"/>
          <w:sz w:val="24"/>
          <w:szCs w:val="24"/>
        </w:rPr>
      </w:pPr>
    </w:p>
    <w:p w:rsidR="00DF49A7" w:rsidRPr="00AE656B" w:rsidRDefault="00DF49A7" w:rsidP="003966FA">
      <w:pPr>
        <w:spacing w:after="0" w:line="240" w:lineRule="auto"/>
        <w:jc w:val="center"/>
        <w:rPr>
          <w:rFonts w:ascii="Arial" w:hAnsi="Arial" w:cs="Arial"/>
          <w:b/>
          <w:sz w:val="24"/>
          <w:szCs w:val="24"/>
        </w:rPr>
      </w:pPr>
      <w:r w:rsidRPr="00AE656B">
        <w:rPr>
          <w:rFonts w:ascii="Arial" w:hAnsi="Arial" w:cs="Arial"/>
          <w:b/>
          <w:sz w:val="24"/>
          <w:szCs w:val="24"/>
        </w:rPr>
        <w:t>A N T E C E D E N T E S</w:t>
      </w:r>
    </w:p>
    <w:p w:rsidR="00DF49A7" w:rsidRPr="00AE656B" w:rsidRDefault="00DF49A7" w:rsidP="003966FA">
      <w:pPr>
        <w:spacing w:after="0" w:line="240" w:lineRule="auto"/>
        <w:jc w:val="both"/>
        <w:rPr>
          <w:rFonts w:ascii="Arial" w:hAnsi="Arial" w:cs="Arial"/>
          <w:sz w:val="24"/>
          <w:szCs w:val="24"/>
        </w:rPr>
      </w:pPr>
    </w:p>
    <w:p w:rsidR="007E2C15" w:rsidRPr="00AE656B" w:rsidRDefault="00DF49A7" w:rsidP="003966FA">
      <w:pPr>
        <w:spacing w:after="0" w:line="240" w:lineRule="auto"/>
        <w:jc w:val="both"/>
        <w:rPr>
          <w:rFonts w:ascii="Arial" w:hAnsi="Arial" w:cs="Arial"/>
          <w:b/>
          <w:sz w:val="24"/>
          <w:szCs w:val="24"/>
        </w:rPr>
      </w:pPr>
      <w:r w:rsidRPr="00AE656B">
        <w:rPr>
          <w:rFonts w:ascii="Arial" w:hAnsi="Arial" w:cs="Arial"/>
          <w:b/>
          <w:sz w:val="24"/>
          <w:szCs w:val="24"/>
        </w:rPr>
        <w:t>PRIMERO.</w:t>
      </w:r>
      <w:r w:rsidRPr="00AE656B">
        <w:rPr>
          <w:rFonts w:ascii="Arial" w:hAnsi="Arial" w:cs="Arial"/>
          <w:sz w:val="24"/>
          <w:szCs w:val="24"/>
        </w:rPr>
        <w:t xml:space="preserve"> Con fecha </w:t>
      </w:r>
      <w:r w:rsidR="00CD4260" w:rsidRPr="00AE656B">
        <w:rPr>
          <w:rFonts w:ascii="Arial" w:hAnsi="Arial" w:cs="Arial"/>
          <w:sz w:val="24"/>
          <w:szCs w:val="24"/>
        </w:rPr>
        <w:t>4 de noviembre el diputado</w:t>
      </w:r>
      <w:r w:rsidR="00ED7252" w:rsidRPr="00AE656B">
        <w:rPr>
          <w:rFonts w:ascii="Arial" w:hAnsi="Arial" w:cs="Arial"/>
          <w:sz w:val="24"/>
          <w:szCs w:val="24"/>
        </w:rPr>
        <w:t>,</w:t>
      </w:r>
      <w:r w:rsidR="00342002">
        <w:rPr>
          <w:rFonts w:ascii="Arial" w:hAnsi="Arial" w:cs="Arial"/>
          <w:sz w:val="24"/>
          <w:szCs w:val="24"/>
        </w:rPr>
        <w:t xml:space="preserve"> José Luis Orozco Sánchez Aldana</w:t>
      </w:r>
      <w:r w:rsidR="00ED7252" w:rsidRPr="00AE656B">
        <w:rPr>
          <w:rFonts w:ascii="Arial" w:hAnsi="Arial" w:cs="Arial"/>
          <w:sz w:val="24"/>
          <w:szCs w:val="24"/>
        </w:rPr>
        <w:t xml:space="preserve"> d</w:t>
      </w:r>
      <w:r w:rsidRPr="00AE656B">
        <w:rPr>
          <w:rFonts w:ascii="Arial" w:hAnsi="Arial" w:cs="Arial"/>
          <w:sz w:val="24"/>
          <w:szCs w:val="24"/>
        </w:rPr>
        <w:t>el Grupo Parlamentario del P</w:t>
      </w:r>
      <w:r w:rsidR="00CD4260" w:rsidRPr="00AE656B">
        <w:rPr>
          <w:rFonts w:ascii="Arial" w:hAnsi="Arial" w:cs="Arial"/>
          <w:sz w:val="24"/>
          <w:szCs w:val="24"/>
        </w:rPr>
        <w:t>artido Revolucionario Institucional</w:t>
      </w:r>
      <w:r w:rsidR="00641133" w:rsidRPr="00AE656B">
        <w:rPr>
          <w:rFonts w:ascii="Arial" w:hAnsi="Arial" w:cs="Arial"/>
          <w:sz w:val="24"/>
          <w:szCs w:val="24"/>
        </w:rPr>
        <w:t>, presentó</w:t>
      </w:r>
      <w:r w:rsidRPr="00AE656B">
        <w:rPr>
          <w:rFonts w:ascii="Arial" w:hAnsi="Arial" w:cs="Arial"/>
          <w:sz w:val="24"/>
          <w:szCs w:val="24"/>
        </w:rPr>
        <w:t xml:space="preserve"> ante el Pleno de la Cámara de Diputados del Honorable Congreso de la Unión de esta LXII</w:t>
      </w:r>
      <w:r w:rsidR="00F673C6" w:rsidRPr="00AE656B">
        <w:rPr>
          <w:rFonts w:ascii="Arial" w:hAnsi="Arial" w:cs="Arial"/>
          <w:sz w:val="24"/>
          <w:szCs w:val="24"/>
        </w:rPr>
        <w:t>I</w:t>
      </w:r>
      <w:r w:rsidRPr="00AE656B">
        <w:rPr>
          <w:rFonts w:ascii="Arial" w:hAnsi="Arial" w:cs="Arial"/>
          <w:sz w:val="24"/>
          <w:szCs w:val="24"/>
        </w:rPr>
        <w:t xml:space="preserve"> Legislatura, la Iniciativa con Proyecto de Decreto que </w:t>
      </w:r>
      <w:r w:rsidR="00CD4260" w:rsidRPr="00AE656B">
        <w:rPr>
          <w:rFonts w:ascii="Arial" w:hAnsi="Arial" w:cs="Arial"/>
          <w:sz w:val="24"/>
          <w:szCs w:val="24"/>
        </w:rPr>
        <w:t xml:space="preserve">adiciona un Capitulo III </w:t>
      </w:r>
      <w:r w:rsidR="00106CAE" w:rsidRPr="00AE656B">
        <w:rPr>
          <w:rFonts w:ascii="Arial" w:hAnsi="Arial" w:cs="Arial"/>
          <w:sz w:val="24"/>
          <w:szCs w:val="24"/>
        </w:rPr>
        <w:t xml:space="preserve">al </w:t>
      </w:r>
      <w:r w:rsidR="00E337E6" w:rsidRPr="00AE656B">
        <w:rPr>
          <w:rFonts w:ascii="Arial" w:hAnsi="Arial" w:cs="Arial"/>
          <w:sz w:val="24"/>
          <w:szCs w:val="24"/>
        </w:rPr>
        <w:t>Título</w:t>
      </w:r>
      <w:r w:rsidR="00106CAE" w:rsidRPr="00AE656B">
        <w:rPr>
          <w:rFonts w:ascii="Arial" w:hAnsi="Arial" w:cs="Arial"/>
          <w:sz w:val="24"/>
          <w:szCs w:val="24"/>
        </w:rPr>
        <w:t xml:space="preserve"> Sexto de</w:t>
      </w:r>
      <w:r w:rsidR="00641133" w:rsidRPr="00AE656B">
        <w:rPr>
          <w:rFonts w:ascii="Arial" w:hAnsi="Arial" w:cs="Arial"/>
          <w:sz w:val="24"/>
          <w:szCs w:val="24"/>
        </w:rPr>
        <w:t xml:space="preserve"> la Ley de los Derechos de las Personas Adultas Mayores.</w:t>
      </w:r>
    </w:p>
    <w:p w:rsidR="005F7EA5" w:rsidRPr="00AE656B" w:rsidRDefault="005F7EA5" w:rsidP="003966FA">
      <w:pPr>
        <w:spacing w:after="0" w:line="240" w:lineRule="auto"/>
        <w:jc w:val="both"/>
        <w:rPr>
          <w:rFonts w:ascii="Arial" w:hAnsi="Arial" w:cs="Arial"/>
          <w:b/>
          <w:sz w:val="24"/>
          <w:szCs w:val="24"/>
        </w:rPr>
      </w:pPr>
    </w:p>
    <w:p w:rsidR="005F7EA5" w:rsidRDefault="001465C9" w:rsidP="003966FA">
      <w:pPr>
        <w:spacing w:after="0" w:line="240" w:lineRule="auto"/>
        <w:jc w:val="both"/>
        <w:rPr>
          <w:rFonts w:ascii="Arial" w:hAnsi="Arial" w:cs="Arial"/>
          <w:sz w:val="24"/>
          <w:szCs w:val="24"/>
        </w:rPr>
      </w:pPr>
      <w:r w:rsidRPr="00AE656B">
        <w:rPr>
          <w:rFonts w:ascii="Arial" w:hAnsi="Arial" w:cs="Arial"/>
          <w:b/>
          <w:sz w:val="24"/>
          <w:szCs w:val="24"/>
        </w:rPr>
        <w:t>SEGUNDO.</w:t>
      </w:r>
      <w:r w:rsidR="00106CAE" w:rsidRPr="00AE656B">
        <w:rPr>
          <w:rFonts w:ascii="Arial" w:hAnsi="Arial" w:cs="Arial"/>
          <w:sz w:val="24"/>
          <w:szCs w:val="24"/>
        </w:rPr>
        <w:t xml:space="preserve"> Con fecha 12</w:t>
      </w:r>
      <w:r w:rsidR="00C45EAC" w:rsidRPr="00AE656B">
        <w:rPr>
          <w:rFonts w:ascii="Arial" w:hAnsi="Arial" w:cs="Arial"/>
          <w:sz w:val="24"/>
          <w:szCs w:val="24"/>
        </w:rPr>
        <w:t xml:space="preserve"> de</w:t>
      </w:r>
      <w:r w:rsidR="006B2F3F" w:rsidRPr="00AE656B">
        <w:rPr>
          <w:rFonts w:ascii="Arial" w:hAnsi="Arial" w:cs="Arial"/>
          <w:sz w:val="24"/>
          <w:szCs w:val="24"/>
        </w:rPr>
        <w:t xml:space="preserve"> </w:t>
      </w:r>
      <w:r w:rsidR="00E337E6" w:rsidRPr="00AE656B">
        <w:rPr>
          <w:rFonts w:ascii="Arial" w:hAnsi="Arial" w:cs="Arial"/>
          <w:sz w:val="24"/>
          <w:szCs w:val="24"/>
        </w:rPr>
        <w:t>noviembre</w:t>
      </w:r>
      <w:r w:rsidRPr="00AE656B">
        <w:rPr>
          <w:rFonts w:ascii="Arial" w:hAnsi="Arial" w:cs="Arial"/>
          <w:sz w:val="24"/>
          <w:szCs w:val="24"/>
        </w:rPr>
        <w:t xml:space="preserve"> </w:t>
      </w:r>
      <w:r w:rsidR="00DF49A7" w:rsidRPr="00AE656B">
        <w:rPr>
          <w:rFonts w:ascii="Arial" w:hAnsi="Arial" w:cs="Arial"/>
          <w:sz w:val="24"/>
          <w:szCs w:val="24"/>
        </w:rPr>
        <w:t>de dos mil quince, la Mesa Directiva de la Cámara de Diput</w:t>
      </w:r>
      <w:r w:rsidR="00C45EAC" w:rsidRPr="00AE656B">
        <w:rPr>
          <w:rFonts w:ascii="Arial" w:hAnsi="Arial" w:cs="Arial"/>
          <w:sz w:val="24"/>
          <w:szCs w:val="24"/>
        </w:rPr>
        <w:t>ados media</w:t>
      </w:r>
      <w:r w:rsidR="00106CAE" w:rsidRPr="00AE656B">
        <w:rPr>
          <w:rFonts w:ascii="Arial" w:hAnsi="Arial" w:cs="Arial"/>
          <w:sz w:val="24"/>
          <w:szCs w:val="24"/>
        </w:rPr>
        <w:t>nte Oficio No. 63-II-3-160</w:t>
      </w:r>
      <w:r w:rsidR="00C45EAC" w:rsidRPr="00AE656B">
        <w:rPr>
          <w:rFonts w:ascii="Arial" w:hAnsi="Arial" w:cs="Arial"/>
          <w:sz w:val="24"/>
          <w:szCs w:val="24"/>
        </w:rPr>
        <w:t>,</w:t>
      </w:r>
      <w:r w:rsidR="00DF49A7" w:rsidRPr="00AE656B">
        <w:rPr>
          <w:rFonts w:ascii="Arial" w:hAnsi="Arial" w:cs="Arial"/>
          <w:sz w:val="24"/>
          <w:szCs w:val="24"/>
        </w:rPr>
        <w:t xml:space="preserve"> turnó a la </w:t>
      </w:r>
      <w:r w:rsidR="00CD4260" w:rsidRPr="00AE656B">
        <w:rPr>
          <w:rFonts w:ascii="Arial" w:hAnsi="Arial" w:cs="Arial"/>
          <w:sz w:val="24"/>
          <w:szCs w:val="24"/>
        </w:rPr>
        <w:t>Comisión de</w:t>
      </w:r>
      <w:r w:rsidR="005C1DF9" w:rsidRPr="00AE656B">
        <w:rPr>
          <w:rFonts w:ascii="Arial" w:hAnsi="Arial" w:cs="Arial"/>
          <w:sz w:val="24"/>
          <w:szCs w:val="24"/>
        </w:rPr>
        <w:t xml:space="preserve"> Atención a Grupos Vulnerables</w:t>
      </w:r>
      <w:r w:rsidR="00C45EAC" w:rsidRPr="00AE656B">
        <w:rPr>
          <w:rFonts w:ascii="Arial" w:hAnsi="Arial" w:cs="Arial"/>
          <w:sz w:val="24"/>
          <w:szCs w:val="24"/>
        </w:rPr>
        <w:t xml:space="preserve"> la I</w:t>
      </w:r>
      <w:r w:rsidR="00DF49A7" w:rsidRPr="00AE656B">
        <w:rPr>
          <w:rFonts w:ascii="Arial" w:hAnsi="Arial" w:cs="Arial"/>
          <w:sz w:val="24"/>
          <w:szCs w:val="24"/>
        </w:rPr>
        <w:t>niciativa de mérito, para su respectivo dictamen.</w:t>
      </w:r>
    </w:p>
    <w:p w:rsidR="006C18CC" w:rsidRPr="006C18CC" w:rsidRDefault="006C18CC" w:rsidP="003966FA">
      <w:pPr>
        <w:spacing w:after="0" w:line="240" w:lineRule="auto"/>
        <w:jc w:val="both"/>
        <w:rPr>
          <w:rFonts w:ascii="Arial" w:hAnsi="Arial" w:cs="Arial"/>
          <w:sz w:val="24"/>
          <w:szCs w:val="24"/>
        </w:rPr>
      </w:pPr>
    </w:p>
    <w:p w:rsidR="00DF49A7" w:rsidRPr="00AE656B" w:rsidRDefault="006C18CC" w:rsidP="003966FA">
      <w:pPr>
        <w:spacing w:after="0" w:line="240" w:lineRule="auto"/>
        <w:jc w:val="both"/>
        <w:rPr>
          <w:rFonts w:ascii="Arial" w:hAnsi="Arial" w:cs="Arial"/>
          <w:sz w:val="24"/>
          <w:szCs w:val="24"/>
        </w:rPr>
      </w:pPr>
      <w:r>
        <w:rPr>
          <w:rFonts w:ascii="Arial" w:hAnsi="Arial" w:cs="Arial"/>
          <w:b/>
          <w:sz w:val="24"/>
          <w:szCs w:val="24"/>
        </w:rPr>
        <w:t>TERCERO</w:t>
      </w:r>
      <w:r w:rsidR="00DF49A7" w:rsidRPr="00AE656B">
        <w:rPr>
          <w:rFonts w:ascii="Arial" w:hAnsi="Arial" w:cs="Arial"/>
          <w:b/>
          <w:sz w:val="24"/>
          <w:szCs w:val="24"/>
        </w:rPr>
        <w:t>.</w:t>
      </w:r>
      <w:r w:rsidR="00DF49A7" w:rsidRPr="00AE656B">
        <w:rPr>
          <w:rFonts w:ascii="Arial" w:hAnsi="Arial" w:cs="Arial"/>
          <w:sz w:val="24"/>
          <w:szCs w:val="24"/>
        </w:rPr>
        <w:t xml:space="preserve">  A efecto de cumplir con lo dispuesto por el artículo 84 del Reglamento de la Cámara de Diputados, los integrantes de la Comisión,</w:t>
      </w:r>
      <w:r w:rsidR="00342002">
        <w:rPr>
          <w:rFonts w:ascii="Arial" w:hAnsi="Arial" w:cs="Arial"/>
          <w:sz w:val="24"/>
          <w:szCs w:val="24"/>
        </w:rPr>
        <w:t xml:space="preserve"> se reunieron el tres de febrero </w:t>
      </w:r>
      <w:r w:rsidR="00106CAE" w:rsidRPr="00AE656B">
        <w:rPr>
          <w:rFonts w:ascii="Arial" w:hAnsi="Arial" w:cs="Arial"/>
          <w:sz w:val="24"/>
          <w:szCs w:val="24"/>
        </w:rPr>
        <w:t>de dos mil dieciséis</w:t>
      </w:r>
      <w:r w:rsidR="00DF49A7" w:rsidRPr="00AE656B">
        <w:rPr>
          <w:rFonts w:ascii="Arial" w:hAnsi="Arial" w:cs="Arial"/>
          <w:sz w:val="24"/>
          <w:szCs w:val="24"/>
        </w:rPr>
        <w:t xml:space="preserve">, para </w:t>
      </w:r>
      <w:r w:rsidR="000B7AA7" w:rsidRPr="00AE656B">
        <w:rPr>
          <w:rFonts w:ascii="Arial" w:hAnsi="Arial" w:cs="Arial"/>
          <w:sz w:val="24"/>
          <w:szCs w:val="24"/>
        </w:rPr>
        <w:t>dictaminar la I</w:t>
      </w:r>
      <w:r w:rsidR="00DF49A7" w:rsidRPr="00AE656B">
        <w:rPr>
          <w:rFonts w:ascii="Arial" w:hAnsi="Arial" w:cs="Arial"/>
          <w:sz w:val="24"/>
          <w:szCs w:val="24"/>
        </w:rPr>
        <w:t>niciativa señalada con anterioridad, con el fin de someterla a la consideración del Pleno de esta Cámara de Diputados, al tenor de los siguientes:</w:t>
      </w:r>
    </w:p>
    <w:p w:rsidR="00DF49A7" w:rsidRDefault="00DF49A7" w:rsidP="003966FA">
      <w:pPr>
        <w:spacing w:after="0" w:line="240" w:lineRule="auto"/>
        <w:jc w:val="both"/>
        <w:rPr>
          <w:rFonts w:ascii="Arial" w:hAnsi="Arial" w:cs="Arial"/>
          <w:sz w:val="24"/>
          <w:szCs w:val="24"/>
        </w:rPr>
      </w:pPr>
    </w:p>
    <w:p w:rsidR="003966FA" w:rsidRDefault="003966FA" w:rsidP="003966FA">
      <w:pPr>
        <w:spacing w:after="0" w:line="240" w:lineRule="auto"/>
        <w:jc w:val="both"/>
        <w:rPr>
          <w:rFonts w:ascii="Arial" w:hAnsi="Arial" w:cs="Arial"/>
          <w:sz w:val="24"/>
          <w:szCs w:val="24"/>
        </w:rPr>
      </w:pPr>
    </w:p>
    <w:p w:rsidR="003966FA" w:rsidRDefault="003966FA" w:rsidP="003966FA">
      <w:pPr>
        <w:spacing w:after="0" w:line="240" w:lineRule="auto"/>
        <w:jc w:val="both"/>
        <w:rPr>
          <w:rFonts w:ascii="Arial" w:hAnsi="Arial" w:cs="Arial"/>
          <w:sz w:val="24"/>
          <w:szCs w:val="24"/>
        </w:rPr>
      </w:pPr>
    </w:p>
    <w:p w:rsidR="003966FA" w:rsidRDefault="003966FA" w:rsidP="003966FA">
      <w:pPr>
        <w:spacing w:after="0" w:line="240" w:lineRule="auto"/>
        <w:jc w:val="both"/>
        <w:rPr>
          <w:rFonts w:ascii="Arial" w:hAnsi="Arial" w:cs="Arial"/>
          <w:sz w:val="24"/>
          <w:szCs w:val="24"/>
        </w:rPr>
      </w:pPr>
    </w:p>
    <w:p w:rsidR="003966FA" w:rsidRPr="00AE656B" w:rsidRDefault="003966FA" w:rsidP="003966FA">
      <w:pPr>
        <w:spacing w:after="0" w:line="240" w:lineRule="auto"/>
        <w:jc w:val="both"/>
        <w:rPr>
          <w:rFonts w:ascii="Arial" w:hAnsi="Arial" w:cs="Arial"/>
          <w:sz w:val="24"/>
          <w:szCs w:val="24"/>
        </w:rPr>
      </w:pPr>
    </w:p>
    <w:p w:rsidR="00DF49A7" w:rsidRPr="00AE656B" w:rsidRDefault="00DF49A7" w:rsidP="003966FA">
      <w:pPr>
        <w:spacing w:after="0" w:line="240" w:lineRule="auto"/>
        <w:jc w:val="center"/>
        <w:rPr>
          <w:rFonts w:ascii="Arial" w:hAnsi="Arial" w:cs="Arial"/>
          <w:b/>
          <w:sz w:val="24"/>
          <w:szCs w:val="24"/>
        </w:rPr>
      </w:pPr>
      <w:r w:rsidRPr="00AE656B">
        <w:rPr>
          <w:rFonts w:ascii="Arial" w:hAnsi="Arial" w:cs="Arial"/>
          <w:b/>
          <w:sz w:val="24"/>
          <w:szCs w:val="24"/>
        </w:rPr>
        <w:lastRenderedPageBreak/>
        <w:t>C O N S I D E R A N D O S</w:t>
      </w:r>
    </w:p>
    <w:p w:rsidR="00DF49A7" w:rsidRPr="00AE656B" w:rsidRDefault="00DF49A7" w:rsidP="003966FA">
      <w:pPr>
        <w:spacing w:after="0" w:line="240" w:lineRule="auto"/>
        <w:jc w:val="center"/>
        <w:rPr>
          <w:rFonts w:ascii="Arial" w:hAnsi="Arial" w:cs="Arial"/>
          <w:b/>
          <w:sz w:val="24"/>
          <w:szCs w:val="24"/>
        </w:rPr>
      </w:pPr>
    </w:p>
    <w:p w:rsidR="007C07A6" w:rsidRPr="00AE656B" w:rsidRDefault="00DF49A7" w:rsidP="003966FA">
      <w:pPr>
        <w:spacing w:after="0" w:line="240" w:lineRule="auto"/>
        <w:jc w:val="both"/>
        <w:rPr>
          <w:rFonts w:ascii="Arial" w:hAnsi="Arial" w:cs="Arial"/>
          <w:sz w:val="24"/>
          <w:szCs w:val="24"/>
        </w:rPr>
      </w:pPr>
      <w:r w:rsidRPr="00AE656B">
        <w:rPr>
          <w:rFonts w:ascii="Arial" w:hAnsi="Arial" w:cs="Arial"/>
          <w:b/>
          <w:sz w:val="24"/>
          <w:szCs w:val="24"/>
        </w:rPr>
        <w:t>PRIMERO.</w:t>
      </w:r>
      <w:r w:rsidRPr="00AE656B">
        <w:rPr>
          <w:rFonts w:ascii="Arial" w:hAnsi="Arial" w:cs="Arial"/>
          <w:sz w:val="24"/>
          <w:szCs w:val="24"/>
        </w:rPr>
        <w:t xml:space="preserve"> Que esta Comisión es competente</w:t>
      </w:r>
      <w:r w:rsidR="00127D7C" w:rsidRPr="00AE656B">
        <w:rPr>
          <w:rFonts w:ascii="Arial" w:hAnsi="Arial" w:cs="Arial"/>
          <w:sz w:val="24"/>
          <w:szCs w:val="24"/>
        </w:rPr>
        <w:t xml:space="preserve"> de conformidad con el artículo 76 del Reglamento de la Cámara de Diputados</w:t>
      </w:r>
      <w:r w:rsidRPr="00AE656B">
        <w:rPr>
          <w:rFonts w:ascii="Arial" w:hAnsi="Arial" w:cs="Arial"/>
          <w:sz w:val="24"/>
          <w:szCs w:val="24"/>
        </w:rPr>
        <w:t xml:space="preserve"> para conocer y resolver respecto de la</w:t>
      </w:r>
      <w:r w:rsidR="00106CAE" w:rsidRPr="00AE656B">
        <w:rPr>
          <w:rFonts w:ascii="Arial" w:hAnsi="Arial" w:cs="Arial"/>
          <w:sz w:val="24"/>
          <w:szCs w:val="24"/>
        </w:rPr>
        <w:t xml:space="preserve"> Iniciativa con Proyecto de Decreto que adiciona un Capitulo III al Título Sexto de la Ley de los Derechos de las Personas Adultas Mayores.</w:t>
      </w:r>
    </w:p>
    <w:p w:rsidR="007C07A6" w:rsidRPr="00AE656B" w:rsidRDefault="007C07A6" w:rsidP="003966FA">
      <w:pPr>
        <w:spacing w:after="0" w:line="240" w:lineRule="auto"/>
        <w:jc w:val="both"/>
        <w:rPr>
          <w:rFonts w:ascii="Arial" w:hAnsi="Arial" w:cs="Arial"/>
          <w:sz w:val="24"/>
          <w:szCs w:val="24"/>
        </w:rPr>
      </w:pPr>
    </w:p>
    <w:p w:rsidR="002153BB" w:rsidRDefault="00DF49A7" w:rsidP="003966FA">
      <w:pPr>
        <w:spacing w:after="0" w:line="240" w:lineRule="auto"/>
        <w:jc w:val="both"/>
        <w:rPr>
          <w:rStyle w:val="apple-converted-space"/>
          <w:rFonts w:ascii="Arial" w:hAnsi="Arial" w:cs="Arial"/>
          <w:color w:val="000000"/>
          <w:sz w:val="24"/>
          <w:szCs w:val="24"/>
        </w:rPr>
      </w:pPr>
      <w:r w:rsidRPr="00AE656B">
        <w:rPr>
          <w:rFonts w:ascii="Arial" w:hAnsi="Arial" w:cs="Arial"/>
          <w:b/>
          <w:sz w:val="24"/>
          <w:szCs w:val="24"/>
        </w:rPr>
        <w:t>SEGUNDO.</w:t>
      </w:r>
      <w:r w:rsidRPr="00AE656B">
        <w:rPr>
          <w:rFonts w:ascii="Arial" w:hAnsi="Arial" w:cs="Arial"/>
          <w:sz w:val="24"/>
          <w:szCs w:val="24"/>
        </w:rPr>
        <w:t xml:space="preserve"> Que la Iniciativa busca </w:t>
      </w:r>
      <w:r w:rsidR="005F7EA5" w:rsidRPr="00AE656B">
        <w:rPr>
          <w:rFonts w:ascii="Arial" w:hAnsi="Arial" w:cs="Arial"/>
          <w:sz w:val="24"/>
          <w:szCs w:val="24"/>
        </w:rPr>
        <w:t xml:space="preserve">a través de la </w:t>
      </w:r>
      <w:r w:rsidR="00106CAE" w:rsidRPr="00AE656B">
        <w:rPr>
          <w:rFonts w:ascii="Arial" w:hAnsi="Arial" w:cs="Arial"/>
          <w:sz w:val="24"/>
          <w:szCs w:val="24"/>
        </w:rPr>
        <w:t>adición de un Titulo Sext</w:t>
      </w:r>
      <w:r w:rsidR="00431846" w:rsidRPr="00AE656B">
        <w:rPr>
          <w:rFonts w:ascii="Arial" w:hAnsi="Arial" w:cs="Arial"/>
          <w:sz w:val="24"/>
          <w:szCs w:val="24"/>
        </w:rPr>
        <w:t>o a la Ley</w:t>
      </w:r>
      <w:r w:rsidR="003C0C5B">
        <w:rPr>
          <w:rFonts w:ascii="Arial" w:hAnsi="Arial" w:cs="Arial"/>
          <w:sz w:val="24"/>
          <w:szCs w:val="24"/>
        </w:rPr>
        <w:t>,</w:t>
      </w:r>
      <w:r w:rsidR="00431846" w:rsidRPr="00AE656B">
        <w:rPr>
          <w:rFonts w:ascii="Arial" w:hAnsi="Arial" w:cs="Arial"/>
          <w:sz w:val="24"/>
          <w:szCs w:val="24"/>
        </w:rPr>
        <w:t xml:space="preserve"> crear condiciones para tener una mejor calidad de vida y salir de ese </w:t>
      </w:r>
      <w:r w:rsidR="005250E4" w:rsidRPr="00AE656B">
        <w:rPr>
          <w:rFonts w:ascii="Arial" w:hAnsi="Arial" w:cs="Arial"/>
          <w:sz w:val="24"/>
          <w:szCs w:val="24"/>
        </w:rPr>
        <w:t>círculo</w:t>
      </w:r>
      <w:r w:rsidR="00431846" w:rsidRPr="00AE656B">
        <w:rPr>
          <w:rFonts w:ascii="Arial" w:hAnsi="Arial" w:cs="Arial"/>
          <w:sz w:val="24"/>
          <w:szCs w:val="24"/>
        </w:rPr>
        <w:t xml:space="preserve"> vicioso de marginación, discriminación </w:t>
      </w:r>
      <w:r w:rsidR="005250E4" w:rsidRPr="00AE656B">
        <w:rPr>
          <w:rFonts w:ascii="Arial" w:hAnsi="Arial" w:cs="Arial"/>
          <w:sz w:val="24"/>
          <w:szCs w:val="24"/>
        </w:rPr>
        <w:t>y violencia del cual son objeto</w:t>
      </w:r>
      <w:r w:rsidR="003C0C5B">
        <w:rPr>
          <w:rFonts w:ascii="Arial" w:hAnsi="Arial" w:cs="Arial"/>
          <w:sz w:val="24"/>
          <w:szCs w:val="24"/>
        </w:rPr>
        <w:t>. A</w:t>
      </w:r>
      <w:r w:rsidR="005250E4" w:rsidRPr="00AE656B">
        <w:rPr>
          <w:rStyle w:val="apple-converted-space"/>
          <w:rFonts w:ascii="Arial" w:hAnsi="Arial" w:cs="Arial"/>
          <w:color w:val="000000"/>
          <w:sz w:val="24"/>
          <w:szCs w:val="24"/>
        </w:rPr>
        <w:t xml:space="preserve">unado a lo anterior tenemos, que la gran mayoría de los adultos mayores no tiene un lugar seguro, estable y digno para vivir, en muchos casos son despojados de su patrimonio o bien desplazados hacia un rincón en su misma casa. </w:t>
      </w:r>
    </w:p>
    <w:p w:rsidR="003966FA" w:rsidRDefault="003966FA" w:rsidP="003966FA">
      <w:pPr>
        <w:spacing w:after="0" w:line="240" w:lineRule="auto"/>
        <w:jc w:val="both"/>
        <w:rPr>
          <w:rStyle w:val="apple-converted-space"/>
          <w:rFonts w:ascii="Arial" w:hAnsi="Arial" w:cs="Arial"/>
          <w:color w:val="000000"/>
          <w:sz w:val="24"/>
          <w:szCs w:val="24"/>
        </w:rPr>
      </w:pPr>
    </w:p>
    <w:p w:rsidR="007C07A6" w:rsidRDefault="005250E4" w:rsidP="003966FA">
      <w:pPr>
        <w:spacing w:after="0" w:line="240" w:lineRule="auto"/>
        <w:jc w:val="both"/>
        <w:rPr>
          <w:rStyle w:val="apple-converted-space"/>
          <w:rFonts w:ascii="Arial" w:hAnsi="Arial" w:cs="Arial"/>
          <w:color w:val="000000"/>
          <w:sz w:val="24"/>
          <w:szCs w:val="24"/>
        </w:rPr>
      </w:pPr>
      <w:r w:rsidRPr="00AE656B">
        <w:rPr>
          <w:rStyle w:val="apple-converted-space"/>
          <w:rFonts w:ascii="Arial" w:hAnsi="Arial" w:cs="Arial"/>
          <w:color w:val="000000"/>
          <w:sz w:val="24"/>
          <w:szCs w:val="24"/>
        </w:rPr>
        <w:t>Por otra parte no hay ni los suficientes ni los adecuados sitios especializados para atenderlos en sus necesidades específicas</w:t>
      </w:r>
      <w:r w:rsidR="0011260B" w:rsidRPr="00AE656B">
        <w:rPr>
          <w:rStyle w:val="apple-converted-space"/>
          <w:rFonts w:ascii="Arial" w:hAnsi="Arial" w:cs="Arial"/>
          <w:color w:val="000000"/>
          <w:sz w:val="24"/>
          <w:szCs w:val="24"/>
        </w:rPr>
        <w:t>, además, se trata de espacios que carecen en primer lugar de lo esencialmente requerido para atender de manera especializada.</w:t>
      </w:r>
    </w:p>
    <w:p w:rsidR="003966FA" w:rsidRPr="00AE656B" w:rsidRDefault="003966FA" w:rsidP="003966FA">
      <w:pPr>
        <w:spacing w:after="0" w:line="240" w:lineRule="auto"/>
        <w:jc w:val="both"/>
        <w:rPr>
          <w:rStyle w:val="apple-converted-space"/>
          <w:rFonts w:ascii="Arial" w:hAnsi="Arial" w:cs="Arial"/>
          <w:color w:val="000000"/>
          <w:sz w:val="24"/>
          <w:szCs w:val="24"/>
        </w:rPr>
      </w:pPr>
    </w:p>
    <w:p w:rsidR="0011260B" w:rsidRPr="00AE656B" w:rsidRDefault="003C0C5B" w:rsidP="003966FA">
      <w:pPr>
        <w:spacing w:after="0" w:line="240" w:lineRule="auto"/>
        <w:jc w:val="both"/>
        <w:rPr>
          <w:rStyle w:val="apple-converted-space"/>
          <w:rFonts w:ascii="Arial" w:hAnsi="Arial" w:cs="Arial"/>
          <w:color w:val="000000"/>
          <w:sz w:val="24"/>
          <w:szCs w:val="24"/>
        </w:rPr>
      </w:pPr>
      <w:r>
        <w:rPr>
          <w:rStyle w:val="apple-converted-space"/>
          <w:rFonts w:ascii="Arial" w:hAnsi="Arial" w:cs="Arial"/>
          <w:color w:val="000000"/>
          <w:sz w:val="24"/>
          <w:szCs w:val="24"/>
        </w:rPr>
        <w:t>El Diputado proponente asegura</w:t>
      </w:r>
      <w:r w:rsidR="0011260B" w:rsidRPr="00AE656B">
        <w:rPr>
          <w:rStyle w:val="apple-converted-space"/>
          <w:rFonts w:ascii="Arial" w:hAnsi="Arial" w:cs="Arial"/>
          <w:color w:val="000000"/>
          <w:sz w:val="24"/>
          <w:szCs w:val="24"/>
        </w:rPr>
        <w:t xml:space="preserve"> </w:t>
      </w:r>
      <w:r>
        <w:rPr>
          <w:rStyle w:val="apple-converted-space"/>
          <w:rFonts w:ascii="Arial" w:hAnsi="Arial" w:cs="Arial"/>
          <w:color w:val="000000"/>
          <w:sz w:val="24"/>
          <w:szCs w:val="24"/>
        </w:rPr>
        <w:t xml:space="preserve">que existen </w:t>
      </w:r>
      <w:r w:rsidR="0011260B" w:rsidRPr="00AE656B">
        <w:rPr>
          <w:rStyle w:val="apple-converted-space"/>
          <w:rFonts w:ascii="Arial" w:hAnsi="Arial" w:cs="Arial"/>
          <w:color w:val="000000"/>
          <w:sz w:val="24"/>
          <w:szCs w:val="24"/>
        </w:rPr>
        <w:t xml:space="preserve">lugares que cuentan con los requisitos establecidos, </w:t>
      </w:r>
      <w:r>
        <w:rPr>
          <w:rStyle w:val="apple-converted-space"/>
          <w:rFonts w:ascii="Arial" w:hAnsi="Arial" w:cs="Arial"/>
          <w:color w:val="000000"/>
          <w:sz w:val="24"/>
          <w:szCs w:val="24"/>
        </w:rPr>
        <w:t xml:space="preserve">mismos que </w:t>
      </w:r>
      <w:r w:rsidR="0011260B" w:rsidRPr="00AE656B">
        <w:rPr>
          <w:rStyle w:val="apple-converted-space"/>
          <w:rFonts w:ascii="Arial" w:hAnsi="Arial" w:cs="Arial"/>
          <w:color w:val="000000"/>
          <w:sz w:val="24"/>
          <w:szCs w:val="24"/>
        </w:rPr>
        <w:t>no son fácilmente identifica</w:t>
      </w:r>
      <w:r>
        <w:rPr>
          <w:rStyle w:val="apple-converted-space"/>
          <w:rFonts w:ascii="Arial" w:hAnsi="Arial" w:cs="Arial"/>
          <w:color w:val="000000"/>
          <w:sz w:val="24"/>
          <w:szCs w:val="24"/>
        </w:rPr>
        <w:t>bles; además no existe ni un pad</w:t>
      </w:r>
      <w:r w:rsidR="0011260B" w:rsidRPr="00AE656B">
        <w:rPr>
          <w:rStyle w:val="apple-converted-space"/>
          <w:rFonts w:ascii="Arial" w:hAnsi="Arial" w:cs="Arial"/>
          <w:color w:val="000000"/>
          <w:sz w:val="24"/>
          <w:szCs w:val="24"/>
        </w:rPr>
        <w:t>rón, o bien un registró</w:t>
      </w:r>
      <w:r w:rsidR="009E1887" w:rsidRPr="00AE656B">
        <w:rPr>
          <w:rStyle w:val="apple-converted-space"/>
          <w:rFonts w:ascii="Arial" w:hAnsi="Arial" w:cs="Arial"/>
          <w:color w:val="000000"/>
          <w:sz w:val="24"/>
          <w:szCs w:val="24"/>
        </w:rPr>
        <w:t xml:space="preserve"> oficial, es decir no hay un orden respecto a los lugares que actualmente se encuentran en funciones ni cómo medir su desempeño, que del conocimiento suficiente para evaluar el lugar</w:t>
      </w:r>
      <w:r>
        <w:rPr>
          <w:rStyle w:val="apple-converted-space"/>
          <w:rFonts w:ascii="Arial" w:hAnsi="Arial" w:cs="Arial"/>
          <w:color w:val="000000"/>
          <w:sz w:val="24"/>
          <w:szCs w:val="24"/>
        </w:rPr>
        <w:t>.</w:t>
      </w:r>
    </w:p>
    <w:p w:rsidR="005F7EA5" w:rsidRPr="00AE656B" w:rsidRDefault="005F7EA5" w:rsidP="003966FA">
      <w:pPr>
        <w:spacing w:after="0" w:line="240" w:lineRule="auto"/>
        <w:jc w:val="both"/>
        <w:rPr>
          <w:rFonts w:ascii="Arial" w:hAnsi="Arial" w:cs="Arial"/>
          <w:b/>
          <w:sz w:val="24"/>
          <w:szCs w:val="24"/>
        </w:rPr>
      </w:pPr>
    </w:p>
    <w:p w:rsidR="00CB66CB" w:rsidRDefault="001975F2" w:rsidP="003966FA">
      <w:pPr>
        <w:spacing w:after="0" w:line="240" w:lineRule="auto"/>
        <w:jc w:val="both"/>
        <w:rPr>
          <w:rFonts w:ascii="Arial" w:hAnsi="Arial" w:cs="Arial"/>
          <w:sz w:val="24"/>
          <w:szCs w:val="24"/>
        </w:rPr>
      </w:pPr>
      <w:r w:rsidRPr="00AE656B">
        <w:rPr>
          <w:rFonts w:ascii="Arial" w:hAnsi="Arial" w:cs="Arial"/>
          <w:b/>
          <w:sz w:val="24"/>
          <w:szCs w:val="24"/>
        </w:rPr>
        <w:t>TERCERO.</w:t>
      </w:r>
      <w:r w:rsidRPr="00AE656B">
        <w:rPr>
          <w:rFonts w:ascii="Arial" w:hAnsi="Arial" w:cs="Arial"/>
          <w:sz w:val="24"/>
          <w:szCs w:val="24"/>
        </w:rPr>
        <w:t xml:space="preserve"> Como antecedentes, </w:t>
      </w:r>
      <w:r w:rsidR="00FE5EB8" w:rsidRPr="00AE656B">
        <w:rPr>
          <w:rFonts w:ascii="Arial" w:hAnsi="Arial" w:cs="Arial"/>
          <w:sz w:val="24"/>
          <w:szCs w:val="24"/>
        </w:rPr>
        <w:t xml:space="preserve">el Diputado autor de la iniciativa que se dictamina señala que </w:t>
      </w:r>
      <w:r w:rsidR="002838D4" w:rsidRPr="00AE656B">
        <w:rPr>
          <w:rFonts w:ascii="Arial" w:hAnsi="Arial" w:cs="Arial"/>
          <w:sz w:val="24"/>
          <w:szCs w:val="24"/>
        </w:rPr>
        <w:t>se tienen enormes deudas pendientes con los adultos mayores. Situación que se ha desarrollado a lo largo de poco más de tres décadas y nos ha derivado en condiciones para este vulnerable sector de la sociedad; que no solo son alarmantes, sino también hirientes.</w:t>
      </w:r>
    </w:p>
    <w:p w:rsidR="003966FA" w:rsidRPr="00AE656B" w:rsidRDefault="003966FA" w:rsidP="003966FA">
      <w:pPr>
        <w:spacing w:after="0" w:line="240" w:lineRule="auto"/>
        <w:jc w:val="both"/>
        <w:rPr>
          <w:rFonts w:ascii="Arial" w:hAnsi="Arial" w:cs="Arial"/>
          <w:sz w:val="24"/>
          <w:szCs w:val="24"/>
        </w:rPr>
      </w:pPr>
    </w:p>
    <w:p w:rsidR="007F0DDB" w:rsidRPr="00AE656B" w:rsidRDefault="007F0DDB" w:rsidP="003966FA">
      <w:pPr>
        <w:spacing w:after="0" w:line="240" w:lineRule="auto"/>
        <w:jc w:val="both"/>
        <w:rPr>
          <w:rFonts w:ascii="Arial" w:hAnsi="Arial" w:cs="Arial"/>
          <w:sz w:val="24"/>
          <w:szCs w:val="24"/>
        </w:rPr>
      </w:pPr>
      <w:r w:rsidRPr="00AE656B">
        <w:rPr>
          <w:rFonts w:ascii="Arial" w:hAnsi="Arial" w:cs="Arial"/>
          <w:b/>
          <w:sz w:val="24"/>
          <w:szCs w:val="24"/>
        </w:rPr>
        <w:t xml:space="preserve">CUARTO. </w:t>
      </w:r>
      <w:r w:rsidRPr="00AE656B">
        <w:rPr>
          <w:rFonts w:ascii="Arial" w:hAnsi="Arial" w:cs="Arial"/>
          <w:sz w:val="24"/>
          <w:szCs w:val="24"/>
        </w:rPr>
        <w:t xml:space="preserve">Esta </w:t>
      </w:r>
      <w:r w:rsidR="002838D4" w:rsidRPr="00AE656B">
        <w:rPr>
          <w:rFonts w:ascii="Arial" w:hAnsi="Arial" w:cs="Arial"/>
          <w:sz w:val="24"/>
          <w:szCs w:val="24"/>
        </w:rPr>
        <w:t>Comisión no</w:t>
      </w:r>
      <w:r w:rsidRPr="00AE656B">
        <w:rPr>
          <w:rFonts w:ascii="Arial" w:hAnsi="Arial" w:cs="Arial"/>
          <w:sz w:val="24"/>
          <w:szCs w:val="24"/>
        </w:rPr>
        <w:t xml:space="preserve"> </w:t>
      </w:r>
      <w:r w:rsidR="00DE025D">
        <w:rPr>
          <w:rFonts w:ascii="Arial" w:hAnsi="Arial" w:cs="Arial"/>
          <w:sz w:val="24"/>
          <w:szCs w:val="24"/>
        </w:rPr>
        <w:t xml:space="preserve">considera procedentes </w:t>
      </w:r>
      <w:r w:rsidRPr="00AE656B">
        <w:rPr>
          <w:rFonts w:ascii="Arial" w:hAnsi="Arial" w:cs="Arial"/>
          <w:sz w:val="24"/>
          <w:szCs w:val="24"/>
        </w:rPr>
        <w:t>los argumentos y fundamentos contenidos en la Iniciativa que se dictam</w:t>
      </w:r>
      <w:r w:rsidR="002838D4" w:rsidRPr="00AE656B">
        <w:rPr>
          <w:rFonts w:ascii="Arial" w:hAnsi="Arial" w:cs="Arial"/>
          <w:sz w:val="24"/>
          <w:szCs w:val="24"/>
        </w:rPr>
        <w:t>ina. Toda vez que el ordenamiento propuestos por la iniciativa, ya se encuentran pr</w:t>
      </w:r>
      <w:r w:rsidR="00342002">
        <w:rPr>
          <w:rFonts w:ascii="Arial" w:hAnsi="Arial" w:cs="Arial"/>
          <w:sz w:val="24"/>
          <w:szCs w:val="24"/>
        </w:rPr>
        <w:t>evistos</w:t>
      </w:r>
      <w:r w:rsidR="002838D4" w:rsidRPr="00AE656B">
        <w:rPr>
          <w:rFonts w:ascii="Arial" w:hAnsi="Arial" w:cs="Arial"/>
          <w:sz w:val="24"/>
          <w:szCs w:val="24"/>
        </w:rPr>
        <w:t xml:space="preserve"> en diverso instrumento </w:t>
      </w:r>
      <w:r w:rsidR="003206D7" w:rsidRPr="00AE656B">
        <w:rPr>
          <w:rFonts w:ascii="Arial" w:hAnsi="Arial" w:cs="Arial"/>
          <w:sz w:val="24"/>
          <w:szCs w:val="24"/>
        </w:rPr>
        <w:t>jurídico</w:t>
      </w:r>
      <w:r w:rsidR="008C68D5" w:rsidRPr="00AE656B">
        <w:rPr>
          <w:rFonts w:ascii="Arial" w:hAnsi="Arial" w:cs="Arial"/>
          <w:sz w:val="24"/>
          <w:szCs w:val="24"/>
        </w:rPr>
        <w:t>, por lo que no se considera necesaria esta reforma pues de lo contrario se corre el riesgo de duplicidad e incluso inconsistencia de la normatividad aplicable.</w:t>
      </w:r>
    </w:p>
    <w:p w:rsidR="00E337E6" w:rsidRPr="00AE656B" w:rsidRDefault="00E337E6" w:rsidP="003966FA">
      <w:pPr>
        <w:spacing w:after="0" w:line="240" w:lineRule="auto"/>
        <w:jc w:val="both"/>
        <w:rPr>
          <w:rFonts w:ascii="Arial" w:hAnsi="Arial" w:cs="Arial"/>
          <w:sz w:val="24"/>
          <w:szCs w:val="24"/>
        </w:rPr>
      </w:pPr>
    </w:p>
    <w:p w:rsidR="00E337E6" w:rsidRPr="00AE656B" w:rsidRDefault="00E337E6" w:rsidP="003966FA">
      <w:pPr>
        <w:spacing w:after="0" w:line="240" w:lineRule="auto"/>
        <w:jc w:val="both"/>
        <w:rPr>
          <w:rFonts w:ascii="Arial" w:hAnsi="Arial" w:cs="Arial"/>
          <w:sz w:val="24"/>
          <w:szCs w:val="24"/>
        </w:rPr>
      </w:pPr>
      <w:r w:rsidRPr="00AE656B">
        <w:rPr>
          <w:rFonts w:ascii="Arial" w:hAnsi="Arial" w:cs="Arial"/>
          <w:b/>
          <w:sz w:val="24"/>
          <w:szCs w:val="24"/>
        </w:rPr>
        <w:t>QUINTO</w:t>
      </w:r>
      <w:r w:rsidRPr="00AE656B">
        <w:rPr>
          <w:rFonts w:ascii="Arial" w:hAnsi="Arial" w:cs="Arial"/>
          <w:sz w:val="24"/>
          <w:szCs w:val="24"/>
        </w:rPr>
        <w:t xml:space="preserve">. Se estima que la iniciativa que se dictamina no resuelve el eventual problema que se plantea, en virtud de que se propone la inclusión de normas que ya se encuentran en textos legislativos y programáticos vigentes. En suma los temas </w:t>
      </w:r>
      <w:r w:rsidRPr="00AE656B">
        <w:rPr>
          <w:rFonts w:ascii="Arial" w:hAnsi="Arial" w:cs="Arial"/>
          <w:sz w:val="24"/>
          <w:szCs w:val="24"/>
        </w:rPr>
        <w:lastRenderedPageBreak/>
        <w:t>que plantea la iniciativa son suficientemente atendidos en los distintos ordenamientos legales que se pretende adicionar.</w:t>
      </w:r>
    </w:p>
    <w:p w:rsidR="00ED4EF3" w:rsidRDefault="00ED4EF3" w:rsidP="003966FA">
      <w:pPr>
        <w:spacing w:after="0" w:line="240" w:lineRule="auto"/>
        <w:jc w:val="both"/>
      </w:pPr>
    </w:p>
    <w:tbl>
      <w:tblPr>
        <w:tblStyle w:val="Tablaconcuadrcula"/>
        <w:tblW w:w="0" w:type="auto"/>
        <w:tblLook w:val="04A0" w:firstRow="1" w:lastRow="0" w:firstColumn="1" w:lastColumn="0" w:noHBand="0" w:noVBand="1"/>
      </w:tblPr>
      <w:tblGrid>
        <w:gridCol w:w="4331"/>
        <w:gridCol w:w="4497"/>
      </w:tblGrid>
      <w:tr w:rsidR="00ED4EF3" w:rsidRPr="003966FA" w:rsidTr="00ED4EF3">
        <w:tc>
          <w:tcPr>
            <w:tcW w:w="4331" w:type="dxa"/>
            <w:shd w:val="clear" w:color="auto" w:fill="BFBFBF" w:themeFill="background1" w:themeFillShade="BF"/>
          </w:tcPr>
          <w:p w:rsidR="00ED4EF3" w:rsidRPr="003966FA" w:rsidRDefault="00EC4BDD" w:rsidP="003966FA">
            <w:pPr>
              <w:jc w:val="both"/>
              <w:rPr>
                <w:b/>
                <w:sz w:val="24"/>
                <w:szCs w:val="24"/>
              </w:rPr>
            </w:pPr>
            <w:r w:rsidRPr="003966FA">
              <w:rPr>
                <w:sz w:val="24"/>
                <w:szCs w:val="24"/>
              </w:rPr>
              <w:t>Estatuto Orgánico del Sistema Nacional para el Desarrollo Integral de la Familia</w:t>
            </w:r>
          </w:p>
        </w:tc>
        <w:tc>
          <w:tcPr>
            <w:tcW w:w="4497" w:type="dxa"/>
            <w:shd w:val="clear" w:color="auto" w:fill="BFBFBF" w:themeFill="background1" w:themeFillShade="BF"/>
          </w:tcPr>
          <w:p w:rsidR="00ED4EF3" w:rsidRPr="003966FA" w:rsidRDefault="00EC4BDD" w:rsidP="003966FA">
            <w:pPr>
              <w:jc w:val="center"/>
              <w:rPr>
                <w:b/>
                <w:sz w:val="24"/>
                <w:szCs w:val="24"/>
              </w:rPr>
            </w:pPr>
            <w:r w:rsidRPr="003966FA">
              <w:rPr>
                <w:b/>
                <w:sz w:val="24"/>
                <w:szCs w:val="24"/>
              </w:rPr>
              <w:t>Iniciativa</w:t>
            </w:r>
          </w:p>
        </w:tc>
      </w:tr>
      <w:tr w:rsidR="00ED4EF3" w:rsidRPr="003966FA" w:rsidTr="00ED4EF3">
        <w:tc>
          <w:tcPr>
            <w:tcW w:w="4331" w:type="dxa"/>
          </w:tcPr>
          <w:p w:rsidR="00ED4EF3" w:rsidRPr="003966FA" w:rsidRDefault="003B5040" w:rsidP="003966FA">
            <w:pPr>
              <w:jc w:val="both"/>
            </w:pPr>
            <w:r w:rsidRPr="003966FA">
              <w:t>Artículo 27. Corresponden a la Dirección General de Profesionalización de la Asistencia Social las siguientes facultades:</w:t>
            </w:r>
          </w:p>
          <w:p w:rsidR="003B5040" w:rsidRPr="003966FA" w:rsidRDefault="003B5040" w:rsidP="003966FA">
            <w:pPr>
              <w:jc w:val="both"/>
            </w:pPr>
          </w:p>
          <w:p w:rsidR="003B5040" w:rsidRPr="003966FA" w:rsidRDefault="003B5040" w:rsidP="003966FA">
            <w:pPr>
              <w:jc w:val="both"/>
            </w:pPr>
            <w:r w:rsidRPr="003966FA">
              <w:t>VIII. Elaborar, actualizar, operar y difundir el Directorio Nacional de las Instituciones de Asistencia Social;</w:t>
            </w:r>
          </w:p>
        </w:tc>
        <w:tc>
          <w:tcPr>
            <w:tcW w:w="4497" w:type="dxa"/>
          </w:tcPr>
          <w:p w:rsidR="00ED4EF3" w:rsidRPr="003966FA" w:rsidRDefault="00ED4EF3" w:rsidP="003966FA">
            <w:pPr>
              <w:pStyle w:val="centrar"/>
              <w:shd w:val="clear" w:color="auto" w:fill="FFFFFF"/>
              <w:spacing w:before="0" w:beforeAutospacing="0" w:after="0" w:afterAutospacing="0"/>
              <w:rPr>
                <w:rFonts w:asciiTheme="minorHAnsi" w:hAnsiTheme="minorHAnsi" w:cs="Times"/>
                <w:b/>
                <w:bCs/>
                <w:color w:val="000000"/>
                <w:sz w:val="22"/>
                <w:szCs w:val="22"/>
              </w:rPr>
            </w:pPr>
            <w:r w:rsidRPr="003966FA">
              <w:rPr>
                <w:rFonts w:asciiTheme="minorHAnsi" w:hAnsiTheme="minorHAnsi" w:cs="Times"/>
                <w:b/>
                <w:bCs/>
                <w:color w:val="000000"/>
                <w:sz w:val="22"/>
                <w:szCs w:val="22"/>
              </w:rPr>
              <w:t>Capítulo III</w:t>
            </w:r>
            <w:r w:rsidRPr="003966FA">
              <w:rPr>
                <w:rFonts w:asciiTheme="minorHAnsi" w:hAnsiTheme="minorHAnsi" w:cs="Times"/>
                <w:b/>
                <w:bCs/>
                <w:color w:val="000000"/>
                <w:sz w:val="22"/>
                <w:szCs w:val="22"/>
              </w:rPr>
              <w:br/>
              <w:t>Del Registro Nacional Único de Centros de Atención de las Personas Adultas Mayores</w:t>
            </w:r>
          </w:p>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Artículo 51. Conforme a lo dispuesto en la fracción XXX del artículo 28 de esta ley, el Instituto creará el Registro Nacional Único de Centros de Atención de las Personas Adultas Mayores.</w:t>
            </w:r>
          </w:p>
          <w:p w:rsidR="00ED4EF3" w:rsidRPr="003966FA" w:rsidRDefault="00ED4EF3" w:rsidP="003966FA">
            <w:pPr>
              <w:ind w:left="293"/>
              <w:jc w:val="both"/>
            </w:pPr>
          </w:p>
        </w:tc>
      </w:tr>
      <w:tr w:rsidR="00ED4EF3" w:rsidRPr="003966FA" w:rsidTr="00ED4EF3">
        <w:tc>
          <w:tcPr>
            <w:tcW w:w="4331" w:type="dxa"/>
          </w:tcPr>
          <w:p w:rsidR="00DE025D" w:rsidRPr="003966FA" w:rsidRDefault="00DE025D" w:rsidP="003966FA">
            <w:pPr>
              <w:jc w:val="both"/>
            </w:pPr>
            <w:r w:rsidRPr="003966FA">
              <w:t>Artículo 27. Corresponden a la Dirección General de Profesionalización de la Asistencia Social las siguientes facultades:</w:t>
            </w:r>
          </w:p>
          <w:p w:rsidR="00ED4EF3" w:rsidRPr="003966FA" w:rsidRDefault="00DE025D" w:rsidP="003966FA">
            <w:pPr>
              <w:jc w:val="both"/>
            </w:pPr>
            <w:r w:rsidRPr="003966FA">
              <w:t>…</w:t>
            </w:r>
          </w:p>
          <w:p w:rsidR="00DE025D" w:rsidRPr="003966FA" w:rsidRDefault="00DE025D" w:rsidP="003966FA">
            <w:pPr>
              <w:jc w:val="both"/>
            </w:pPr>
          </w:p>
          <w:p w:rsidR="003B5040" w:rsidRPr="003966FA" w:rsidRDefault="003B5040" w:rsidP="003966FA">
            <w:pPr>
              <w:jc w:val="both"/>
            </w:pPr>
            <w:r w:rsidRPr="003966FA">
              <w:t>II. Coordinar el Subcomité de Asistencia Social del Comité Consultivo Nacional de Normalización de Innovación, Desarrollo, Tecnologías e Información en Salud, así como las acciones de los Grupos Técnicos Interinstitucionales para la elaboración y modificación de propuestas de anteproyectos y proyectos de Normas Oficiales Mexicanas en el ámbito de la asistencia social, así como para la difusión y supervisión de éstas;</w:t>
            </w:r>
          </w:p>
          <w:p w:rsidR="003B5040" w:rsidRPr="003966FA" w:rsidRDefault="003B5040" w:rsidP="003966FA">
            <w:pPr>
              <w:jc w:val="both"/>
            </w:pPr>
          </w:p>
          <w:p w:rsidR="00ED4EF3" w:rsidRPr="003966FA" w:rsidRDefault="003B5040" w:rsidP="003966FA">
            <w:pPr>
              <w:jc w:val="both"/>
            </w:pPr>
            <w:r w:rsidRPr="003966FA">
              <w:t>III. Proponer, actualizar y divulgar normas, modelos y lineamientos en materia de profesionalización de la asistencia social;</w:t>
            </w:r>
          </w:p>
        </w:tc>
        <w:tc>
          <w:tcPr>
            <w:tcW w:w="4497" w:type="dxa"/>
          </w:tcPr>
          <w:p w:rsidR="00ED4EF3" w:rsidRPr="003966FA" w:rsidRDefault="00ED4EF3" w:rsidP="003966FA">
            <w:pPr>
              <w:jc w:val="both"/>
              <w:rPr>
                <w:rFonts w:cs="Times"/>
                <w:b/>
                <w:bCs/>
                <w:color w:val="000000"/>
                <w:shd w:val="clear" w:color="auto" w:fill="FFFFFF"/>
              </w:rPr>
            </w:pPr>
            <w:r w:rsidRPr="003966FA">
              <w:rPr>
                <w:rFonts w:cs="Times"/>
                <w:b/>
                <w:bCs/>
                <w:color w:val="000000"/>
                <w:shd w:val="clear" w:color="auto" w:fill="FFFFFF"/>
              </w:rPr>
              <w:t>Artículo 52. El Instituto establecerá las disposiciones aplicables para regular su funcionamiento así como para dotarlo de los recursos humanos, financieros y materiales que requiera para su efectiva operación.</w:t>
            </w:r>
          </w:p>
          <w:p w:rsidR="00ED4EF3" w:rsidRPr="003966FA" w:rsidRDefault="00ED4EF3" w:rsidP="003966FA">
            <w:pPr>
              <w:jc w:val="both"/>
              <w:rPr>
                <w:rFonts w:cs="Times"/>
                <w:b/>
                <w:bCs/>
                <w:color w:val="000000"/>
                <w:shd w:val="clear" w:color="auto" w:fill="FFFFFF"/>
              </w:rPr>
            </w:pPr>
          </w:p>
          <w:p w:rsidR="00ED4EF3" w:rsidRPr="003966FA" w:rsidRDefault="00ED4EF3" w:rsidP="003966FA">
            <w:pPr>
              <w:jc w:val="both"/>
            </w:pPr>
            <w:r w:rsidRPr="003966FA">
              <w:rPr>
                <w:rFonts w:cs="Times"/>
                <w:b/>
                <w:bCs/>
                <w:color w:val="000000"/>
                <w:shd w:val="clear" w:color="auto" w:fill="FFFFFF"/>
              </w:rPr>
              <w:t>Así como también los requisitos y lineamientos que deberán atender los interesados para poder inscribirse en el padrón; considerando lo dispuesto en las normas oficiales mexicanas, normas mexicanas, normas técnicas y los reglamentos expedidos y aplicables en materia de funcionamiento para estos centros de atención a las personas adultas mayores.</w:t>
            </w:r>
          </w:p>
        </w:tc>
      </w:tr>
      <w:tr w:rsidR="00ED4EF3" w:rsidRPr="003966FA" w:rsidTr="00ED4EF3">
        <w:tc>
          <w:tcPr>
            <w:tcW w:w="4331" w:type="dxa"/>
          </w:tcPr>
          <w:p w:rsidR="00DE025D" w:rsidRPr="003966FA" w:rsidRDefault="00DE025D" w:rsidP="003966FA">
            <w:pPr>
              <w:jc w:val="both"/>
            </w:pPr>
            <w:r w:rsidRPr="003966FA">
              <w:t>Artículo 27. Corresponden a la Dirección General de Profesionalización de la Asistencia Social las siguientes facultades:</w:t>
            </w:r>
          </w:p>
          <w:p w:rsidR="00ED4EF3" w:rsidRPr="003966FA" w:rsidRDefault="00ED4EF3" w:rsidP="003966FA">
            <w:pPr>
              <w:autoSpaceDE w:val="0"/>
              <w:autoSpaceDN w:val="0"/>
              <w:adjustRightInd w:val="0"/>
              <w:ind w:left="293"/>
              <w:jc w:val="both"/>
              <w:rPr>
                <w:rFonts w:cs="Times New Roman"/>
                <w:sz w:val="23"/>
                <w:szCs w:val="23"/>
              </w:rPr>
            </w:pPr>
          </w:p>
          <w:p w:rsidR="003B5040" w:rsidRPr="003966FA" w:rsidRDefault="003B5040" w:rsidP="003966FA">
            <w:pPr>
              <w:jc w:val="both"/>
            </w:pPr>
            <w:r w:rsidRPr="003966FA">
              <w:t xml:space="preserve">VI. Organizar, promover y operar el Centro de Información y Documentación sobre la Asistencia Social; </w:t>
            </w:r>
          </w:p>
          <w:p w:rsidR="00ED4EF3" w:rsidRPr="003966FA" w:rsidRDefault="003B5040" w:rsidP="003966FA">
            <w:pPr>
              <w:jc w:val="both"/>
            </w:pPr>
            <w:r w:rsidRPr="003966FA">
              <w:lastRenderedPageBreak/>
              <w:t>VII. Coordinar y promover la organización y conservación del Archivo General del Organismo, a través de métodos y técnicas que garanticen la localización y disposición expedita de documentos conforme a la normatividad vigente en materia archivística;</w:t>
            </w:r>
          </w:p>
        </w:tc>
        <w:tc>
          <w:tcPr>
            <w:tcW w:w="4497" w:type="dxa"/>
          </w:tcPr>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lastRenderedPageBreak/>
              <w:t>Artículo 53. El Registro Nacional Único de Centros de Atención de las Personas Adultas Mayores será de carácter y consulta pública.</w:t>
            </w:r>
          </w:p>
          <w:p w:rsidR="003B5040" w:rsidRPr="003966FA" w:rsidRDefault="003B5040" w:rsidP="003966FA">
            <w:pPr>
              <w:pStyle w:val="NormalWeb"/>
              <w:shd w:val="clear" w:color="auto" w:fill="FFFFFF"/>
              <w:spacing w:before="0" w:beforeAutospacing="0" w:after="0" w:afterAutospacing="0"/>
              <w:jc w:val="both"/>
              <w:rPr>
                <w:rStyle w:val="negritas"/>
                <w:rFonts w:asciiTheme="minorHAnsi" w:hAnsiTheme="minorHAnsi" w:cs="Times"/>
                <w:b/>
                <w:bCs/>
                <w:color w:val="000000"/>
                <w:sz w:val="22"/>
                <w:szCs w:val="22"/>
              </w:rPr>
            </w:pPr>
          </w:p>
          <w:p w:rsidR="003B5040" w:rsidRPr="003966FA" w:rsidRDefault="003B5040" w:rsidP="003966FA">
            <w:pPr>
              <w:pStyle w:val="NormalWeb"/>
              <w:shd w:val="clear" w:color="auto" w:fill="FFFFFF"/>
              <w:spacing w:before="0" w:beforeAutospacing="0" w:after="0" w:afterAutospacing="0"/>
              <w:jc w:val="both"/>
              <w:rPr>
                <w:rStyle w:val="negritas"/>
                <w:rFonts w:asciiTheme="minorHAnsi" w:hAnsiTheme="minorHAnsi" w:cs="Times"/>
                <w:b/>
                <w:bCs/>
                <w:color w:val="000000"/>
                <w:sz w:val="22"/>
                <w:szCs w:val="22"/>
              </w:rPr>
            </w:pPr>
          </w:p>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lastRenderedPageBreak/>
              <w:t>El Instituto emitirá las disposiciones generales para regular la forma en que será divulgada o suministrada su información.</w:t>
            </w:r>
          </w:p>
          <w:p w:rsidR="00ED4EF3" w:rsidRPr="003966FA" w:rsidRDefault="00ED4EF3" w:rsidP="003966FA">
            <w:pPr>
              <w:ind w:left="293"/>
              <w:jc w:val="both"/>
            </w:pPr>
          </w:p>
        </w:tc>
      </w:tr>
      <w:tr w:rsidR="00ED4EF3" w:rsidRPr="003966FA" w:rsidTr="00ED4EF3">
        <w:tc>
          <w:tcPr>
            <w:tcW w:w="4331" w:type="dxa"/>
          </w:tcPr>
          <w:p w:rsidR="00DE025D" w:rsidRPr="003966FA" w:rsidRDefault="00DE025D" w:rsidP="003966FA">
            <w:pPr>
              <w:jc w:val="both"/>
            </w:pPr>
            <w:r w:rsidRPr="003966FA">
              <w:lastRenderedPageBreak/>
              <w:t>Artículo 27. Corresponden a la Dirección General de Profesionalización de la Asistencia Social las siguientes facultades:</w:t>
            </w:r>
          </w:p>
          <w:p w:rsidR="00ED4EF3" w:rsidRPr="003966FA" w:rsidRDefault="00ED4EF3" w:rsidP="003966FA">
            <w:pPr>
              <w:autoSpaceDE w:val="0"/>
              <w:autoSpaceDN w:val="0"/>
              <w:adjustRightInd w:val="0"/>
              <w:jc w:val="both"/>
              <w:rPr>
                <w:rFonts w:cs="Times New Roman"/>
                <w:sz w:val="23"/>
                <w:szCs w:val="23"/>
              </w:rPr>
            </w:pPr>
          </w:p>
          <w:p w:rsidR="00ED4EF3" w:rsidRPr="003966FA" w:rsidRDefault="003B5040" w:rsidP="003966FA">
            <w:pPr>
              <w:autoSpaceDE w:val="0"/>
              <w:autoSpaceDN w:val="0"/>
              <w:adjustRightInd w:val="0"/>
              <w:jc w:val="both"/>
            </w:pPr>
            <w:r w:rsidRPr="003966FA">
              <w:t>XVII. Coordinar, administrar, difundir y actualizar el Sistema Nacional de Información en Materia de Asistencia Social en colaboración con las áreas administrativas del Organismo, los Sistemas Estatales para el Desarrollo Integral de la Familia, el Instituto Nacional de Geografía y Estadística, así como las demás organizaciones públicas o privadas que determine la legislación aplicable y el Servicio Nacional de Información sobre asistencia social;</w:t>
            </w:r>
          </w:p>
          <w:p w:rsidR="00FF4892" w:rsidRPr="003966FA" w:rsidRDefault="00FF4892" w:rsidP="003966FA">
            <w:pPr>
              <w:autoSpaceDE w:val="0"/>
              <w:autoSpaceDN w:val="0"/>
              <w:adjustRightInd w:val="0"/>
              <w:jc w:val="both"/>
            </w:pPr>
          </w:p>
          <w:p w:rsidR="00FF4892" w:rsidRPr="003966FA" w:rsidRDefault="00FF4892" w:rsidP="003966FA">
            <w:pPr>
              <w:autoSpaceDE w:val="0"/>
              <w:autoSpaceDN w:val="0"/>
              <w:adjustRightInd w:val="0"/>
              <w:jc w:val="both"/>
            </w:pPr>
            <w:r w:rsidRPr="003966FA">
              <w:t>Artículo 30. Corresponden a la Dirección General de Integración Social las siguientes facultades:</w:t>
            </w:r>
          </w:p>
          <w:p w:rsidR="00FF4892" w:rsidRPr="003966FA" w:rsidRDefault="00FF4892" w:rsidP="003966FA">
            <w:pPr>
              <w:autoSpaceDE w:val="0"/>
              <w:autoSpaceDN w:val="0"/>
              <w:adjustRightInd w:val="0"/>
              <w:jc w:val="both"/>
            </w:pPr>
          </w:p>
          <w:p w:rsidR="00FF4892" w:rsidRPr="003966FA" w:rsidRDefault="00FF4892" w:rsidP="003966FA">
            <w:pPr>
              <w:autoSpaceDE w:val="0"/>
              <w:autoSpaceDN w:val="0"/>
              <w:adjustRightInd w:val="0"/>
              <w:jc w:val="both"/>
              <w:rPr>
                <w:rFonts w:cs="Times New Roman"/>
                <w:sz w:val="23"/>
                <w:szCs w:val="23"/>
              </w:rPr>
            </w:pPr>
            <w:r w:rsidRPr="003966FA">
              <w:t>XI. Emitir recomendaciones sobre la expedición, revalidación o cancelación de licencias a centros de protección social y de servicios asistenciales de organismos públicos y privados, que brinden atención a niñas, niños y adolescentes y a personas adultas mayores;</w:t>
            </w:r>
          </w:p>
        </w:tc>
        <w:tc>
          <w:tcPr>
            <w:tcW w:w="4497" w:type="dxa"/>
          </w:tcPr>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Artículo 54. El Registro Nacional Único de Centros de Atención de las Personas Adultas Mayores, tendrá los siguientes objetivos:</w:t>
            </w:r>
          </w:p>
          <w:p w:rsidR="00ED4EF3" w:rsidRPr="003966FA" w:rsidRDefault="00ED4EF3" w:rsidP="003966FA">
            <w:pPr>
              <w:pStyle w:val="sangria"/>
              <w:shd w:val="clear" w:color="auto" w:fill="FFFFFF"/>
              <w:spacing w:before="0" w:beforeAutospacing="0" w:after="0" w:afterAutospacing="0"/>
              <w:ind w:left="24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I. Crear un padrón nacional único de instituciones o centros públicos o privados de atención a las personas adultas mayores que coadyuve a garantizarles, el pleno ejercicio de sus derechos en estos lugares y contribuya a garantizar su regulación para mejorar sus instalaciones, servicios y recursos humanos y a mejorar la calidad de los mismos.</w:t>
            </w:r>
          </w:p>
          <w:p w:rsidR="00ED4EF3" w:rsidRPr="003966FA" w:rsidRDefault="00ED4EF3" w:rsidP="003966FA">
            <w:pPr>
              <w:pStyle w:val="sangria"/>
              <w:shd w:val="clear" w:color="auto" w:fill="FFFFFF"/>
              <w:spacing w:before="0" w:beforeAutospacing="0" w:after="0" w:afterAutospacing="0"/>
              <w:ind w:left="24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II. Servir como fuente de consulta y de difusión de información de calidad, pertinente, veraz y oportuna sobre el estado general que guardan las instituciones públicas o privadas, casas hogar, albergues, residencias de día o cualquier otro centro de atención a las personas adultas mayores.</w:t>
            </w:r>
          </w:p>
          <w:p w:rsidR="00ED4EF3" w:rsidRPr="003966FA" w:rsidRDefault="00ED4EF3" w:rsidP="003966FA">
            <w:pPr>
              <w:pStyle w:val="sangria"/>
              <w:shd w:val="clear" w:color="auto" w:fill="FFFFFF"/>
              <w:spacing w:before="0" w:beforeAutospacing="0" w:after="0" w:afterAutospacing="0"/>
              <w:ind w:left="24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III. Servir como fuente permanentemente actualizada de consulta y seguimiento detallado de las irregularidades u omisiones detectadas en la operación y funcionamiento de las instituciones o centros públicos o privados de atención a las personas adultas mayores</w:t>
            </w:r>
            <w:r w:rsidRPr="003966FA">
              <w:rPr>
                <w:rStyle w:val="apple-converted-space"/>
                <w:rFonts w:asciiTheme="minorHAnsi" w:hAnsiTheme="minorHAnsi" w:cs="Times"/>
                <w:color w:val="000000"/>
                <w:sz w:val="22"/>
                <w:szCs w:val="22"/>
              </w:rPr>
              <w:t> </w:t>
            </w:r>
            <w:r w:rsidRPr="003966FA">
              <w:rPr>
                <w:rStyle w:val="negritas"/>
                <w:rFonts w:asciiTheme="minorHAnsi" w:hAnsiTheme="minorHAnsi" w:cs="Times"/>
                <w:b/>
                <w:bCs/>
                <w:color w:val="000000"/>
                <w:sz w:val="22"/>
                <w:szCs w:val="22"/>
              </w:rPr>
              <w:t>por parte de las autoridades correspondientes, integrando también las quejas que haya sobre los mismos.</w:t>
            </w:r>
          </w:p>
          <w:p w:rsidR="00ED4EF3" w:rsidRPr="003966FA" w:rsidRDefault="00ED4EF3" w:rsidP="003966FA">
            <w:pPr>
              <w:autoSpaceDE w:val="0"/>
              <w:autoSpaceDN w:val="0"/>
              <w:adjustRightInd w:val="0"/>
              <w:jc w:val="both"/>
              <w:rPr>
                <w:rFonts w:cs="Times New Roman"/>
                <w:sz w:val="23"/>
                <w:szCs w:val="23"/>
              </w:rPr>
            </w:pPr>
          </w:p>
        </w:tc>
      </w:tr>
      <w:tr w:rsidR="00ED4EF3" w:rsidRPr="003966FA" w:rsidTr="00ED4EF3">
        <w:tc>
          <w:tcPr>
            <w:tcW w:w="4331" w:type="dxa"/>
          </w:tcPr>
          <w:p w:rsidR="008D10EA" w:rsidRPr="003966FA" w:rsidRDefault="008D10EA" w:rsidP="003966FA">
            <w:pPr>
              <w:autoSpaceDE w:val="0"/>
              <w:autoSpaceDN w:val="0"/>
              <w:adjustRightInd w:val="0"/>
              <w:jc w:val="both"/>
            </w:pPr>
            <w:r w:rsidRPr="003966FA">
              <w:t xml:space="preserve">Artículo 34. Corresponde a la Dirección General de Autorización, Registro, Certificación y Supervisión de Centros de Asistencia Social, en coordinación con las áreas correspondientes de las Procuradurías </w:t>
            </w:r>
            <w:r w:rsidRPr="003966FA">
              <w:lastRenderedPageBreak/>
              <w:t>de Protección de las entidades federativas las siguientes facultades:</w:t>
            </w:r>
          </w:p>
          <w:p w:rsidR="008D10EA" w:rsidRPr="003966FA" w:rsidRDefault="008D10EA" w:rsidP="003966FA">
            <w:pPr>
              <w:autoSpaceDE w:val="0"/>
              <w:autoSpaceDN w:val="0"/>
              <w:adjustRightInd w:val="0"/>
              <w:jc w:val="both"/>
            </w:pPr>
          </w:p>
          <w:p w:rsidR="008D10EA" w:rsidRPr="003966FA" w:rsidRDefault="008D10EA" w:rsidP="003966FA">
            <w:pPr>
              <w:autoSpaceDE w:val="0"/>
              <w:autoSpaceDN w:val="0"/>
              <w:adjustRightInd w:val="0"/>
              <w:jc w:val="both"/>
              <w:rPr>
                <w:rFonts w:cs="Times New Roman"/>
                <w:sz w:val="23"/>
                <w:szCs w:val="23"/>
              </w:rPr>
            </w:pPr>
            <w:r w:rsidRPr="003966FA">
              <w:t>IX. Dar seguimiento a la ejecución de las acciones legales que correspondan cuando en la visita de supervisión se detecte que el Centro de Asistencia Social incumple los requisitos que establece la Ley y demás disposiciones aplicables;</w:t>
            </w:r>
          </w:p>
        </w:tc>
        <w:tc>
          <w:tcPr>
            <w:tcW w:w="4497" w:type="dxa"/>
          </w:tcPr>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lastRenderedPageBreak/>
              <w:t xml:space="preserve">Artículo 55. Toda institución pública o privada, casa hogar, albergue, residencia de día o cualquier otro centro de atención a las personas adultas mayores, deberá inscribirse obligatoriamente para poder brindar sus </w:t>
            </w:r>
            <w:r w:rsidRPr="003966FA">
              <w:rPr>
                <w:rStyle w:val="negritas"/>
                <w:rFonts w:asciiTheme="minorHAnsi" w:hAnsiTheme="minorHAnsi" w:cs="Times"/>
                <w:b/>
                <w:bCs/>
                <w:color w:val="000000"/>
                <w:sz w:val="22"/>
                <w:szCs w:val="22"/>
              </w:rPr>
              <w:lastRenderedPageBreak/>
              <w:t>servicios en el padrón del Registro Nacional Único de Centros de Atención de las Personas Adultas Mayores. La inscripción en el padrón deberá ser renovada anualmente.</w:t>
            </w:r>
          </w:p>
          <w:p w:rsidR="00ED4EF3" w:rsidRPr="003966FA" w:rsidRDefault="00ED4EF3" w:rsidP="003966FA">
            <w:pPr>
              <w:pStyle w:val="NormalWeb"/>
              <w:shd w:val="clear" w:color="auto" w:fill="FFFFFF"/>
              <w:spacing w:before="0" w:beforeAutospacing="0" w:after="0" w:afterAutospacing="0"/>
              <w:jc w:val="both"/>
              <w:rPr>
                <w:rFonts w:asciiTheme="minorHAnsi" w:hAnsiTheme="minorHAnsi" w:cs="Times"/>
                <w:color w:val="000000"/>
                <w:sz w:val="22"/>
                <w:szCs w:val="22"/>
              </w:rPr>
            </w:pPr>
            <w:r w:rsidRPr="003966FA">
              <w:rPr>
                <w:rStyle w:val="negritas"/>
                <w:rFonts w:asciiTheme="minorHAnsi" w:hAnsiTheme="minorHAnsi" w:cs="Times"/>
                <w:b/>
                <w:bCs/>
                <w:color w:val="000000"/>
                <w:sz w:val="22"/>
                <w:szCs w:val="22"/>
              </w:rPr>
              <w:t>La violación de esta disposición se sancionará con la revocación irreversible de su inscripción en el padrón y se ordenara el cierre definitivo del lugar.</w:t>
            </w:r>
          </w:p>
          <w:p w:rsidR="00ED4EF3" w:rsidRPr="003966FA" w:rsidRDefault="00ED4EF3" w:rsidP="003966FA">
            <w:pPr>
              <w:autoSpaceDE w:val="0"/>
              <w:autoSpaceDN w:val="0"/>
              <w:adjustRightInd w:val="0"/>
              <w:jc w:val="both"/>
              <w:rPr>
                <w:rFonts w:cs="Times New Roman"/>
                <w:sz w:val="23"/>
                <w:szCs w:val="23"/>
              </w:rPr>
            </w:pPr>
          </w:p>
        </w:tc>
      </w:tr>
    </w:tbl>
    <w:p w:rsidR="00ED4EF3" w:rsidRDefault="00ED4EF3" w:rsidP="003966FA">
      <w:pPr>
        <w:spacing w:after="0" w:line="240" w:lineRule="auto"/>
        <w:jc w:val="both"/>
      </w:pPr>
    </w:p>
    <w:p w:rsidR="00E337E6" w:rsidRPr="00AE656B" w:rsidRDefault="00E337E6" w:rsidP="003966FA">
      <w:pPr>
        <w:spacing w:after="0" w:line="240" w:lineRule="auto"/>
        <w:jc w:val="both"/>
        <w:rPr>
          <w:rFonts w:ascii="Arial" w:hAnsi="Arial" w:cs="Arial"/>
          <w:sz w:val="24"/>
          <w:szCs w:val="24"/>
        </w:rPr>
      </w:pPr>
      <w:r w:rsidRPr="00AE656B">
        <w:rPr>
          <w:rFonts w:ascii="Arial" w:hAnsi="Arial" w:cs="Arial"/>
          <w:b/>
          <w:sz w:val="24"/>
          <w:szCs w:val="24"/>
        </w:rPr>
        <w:t>SEXTO.</w:t>
      </w:r>
      <w:r w:rsidR="00AE656B" w:rsidRPr="00AE656B">
        <w:rPr>
          <w:rFonts w:ascii="Arial" w:hAnsi="Arial" w:cs="Arial"/>
          <w:b/>
          <w:sz w:val="24"/>
          <w:szCs w:val="24"/>
        </w:rPr>
        <w:t xml:space="preserve"> </w:t>
      </w:r>
      <w:r w:rsidR="00AE656B" w:rsidRPr="00AE656B">
        <w:rPr>
          <w:rFonts w:ascii="Arial" w:hAnsi="Arial" w:cs="Arial"/>
          <w:sz w:val="24"/>
          <w:szCs w:val="24"/>
        </w:rPr>
        <w:t>Actualmente</w:t>
      </w:r>
      <w:r w:rsidR="00EC4BDD">
        <w:rPr>
          <w:rFonts w:ascii="Arial" w:hAnsi="Arial" w:cs="Arial"/>
          <w:sz w:val="24"/>
          <w:szCs w:val="24"/>
        </w:rPr>
        <w:t>, el Articulo 24</w:t>
      </w:r>
      <w:r w:rsidR="008D10EA">
        <w:rPr>
          <w:rFonts w:ascii="Arial" w:hAnsi="Arial" w:cs="Arial"/>
          <w:sz w:val="24"/>
          <w:szCs w:val="24"/>
        </w:rPr>
        <w:t xml:space="preserve"> del Estatuto en comento,</w:t>
      </w:r>
      <w:r w:rsidR="00EC4BDD">
        <w:rPr>
          <w:rFonts w:ascii="Arial" w:hAnsi="Arial" w:cs="Arial"/>
          <w:sz w:val="24"/>
          <w:szCs w:val="24"/>
        </w:rPr>
        <w:t xml:space="preserve"> en sus diversas fracciones otorga a</w:t>
      </w:r>
      <w:r w:rsidR="00AE656B" w:rsidRPr="00AE656B">
        <w:rPr>
          <w:rFonts w:ascii="Arial" w:hAnsi="Arial" w:cs="Arial"/>
          <w:sz w:val="24"/>
          <w:szCs w:val="24"/>
        </w:rPr>
        <w:t xml:space="preserve"> la Dirección General de Autorización, Registro, Certificación y Supervisión de Centros de Asistencia Social</w:t>
      </w:r>
      <w:r w:rsidR="00342002">
        <w:rPr>
          <w:rFonts w:ascii="Arial" w:hAnsi="Arial" w:cs="Arial"/>
          <w:sz w:val="24"/>
          <w:szCs w:val="24"/>
        </w:rPr>
        <w:t>,</w:t>
      </w:r>
      <w:r w:rsidR="00AE656B" w:rsidRPr="00AE656B">
        <w:rPr>
          <w:rFonts w:ascii="Arial" w:hAnsi="Arial" w:cs="Arial"/>
          <w:sz w:val="24"/>
          <w:szCs w:val="24"/>
        </w:rPr>
        <w:t xml:space="preserve"> dependiente del Sistema Nacional para el Desarrollo Integral de la Familia, la facultad y los elementos suficientes para poder coordinarse con las distintas instituciones, del sector público, privado y social, para implementar estas acciones en beneficio de las personas adultas mayores</w:t>
      </w:r>
      <w:r w:rsidR="00EC4BDD">
        <w:rPr>
          <w:rFonts w:ascii="Arial" w:hAnsi="Arial" w:cs="Arial"/>
          <w:sz w:val="24"/>
          <w:szCs w:val="24"/>
        </w:rPr>
        <w:t>.</w:t>
      </w:r>
      <w:r w:rsidR="00AE656B" w:rsidRPr="00AE656B">
        <w:rPr>
          <w:rFonts w:ascii="Arial" w:hAnsi="Arial" w:cs="Arial"/>
          <w:sz w:val="24"/>
          <w:szCs w:val="24"/>
        </w:rPr>
        <w:t xml:space="preserve"> </w:t>
      </w:r>
    </w:p>
    <w:p w:rsidR="003A0A1B" w:rsidRDefault="003A0A1B" w:rsidP="003966FA">
      <w:pPr>
        <w:pStyle w:val="TEXTONORMAL"/>
        <w:spacing w:line="240" w:lineRule="auto"/>
        <w:rPr>
          <w:rFonts w:cs="Arial"/>
          <w:iCs/>
          <w:sz w:val="24"/>
          <w:szCs w:val="24"/>
        </w:rPr>
      </w:pPr>
    </w:p>
    <w:p w:rsidR="00651096" w:rsidRPr="003A0A1B" w:rsidRDefault="00651096" w:rsidP="003966FA">
      <w:pPr>
        <w:spacing w:after="0" w:line="240" w:lineRule="auto"/>
        <w:jc w:val="both"/>
        <w:rPr>
          <w:rFonts w:ascii="Arial" w:hAnsi="Arial" w:cs="Arial"/>
          <w:sz w:val="24"/>
          <w:szCs w:val="24"/>
        </w:rPr>
      </w:pPr>
      <w:r>
        <w:rPr>
          <w:rFonts w:ascii="Arial" w:hAnsi="Arial" w:cs="Arial"/>
          <w:sz w:val="24"/>
          <w:szCs w:val="24"/>
        </w:rPr>
        <w:t>C</w:t>
      </w:r>
      <w:r w:rsidRPr="003A0A1B">
        <w:rPr>
          <w:rFonts w:ascii="Arial" w:hAnsi="Arial" w:cs="Arial"/>
          <w:sz w:val="24"/>
          <w:szCs w:val="24"/>
        </w:rPr>
        <w:t>on base en lo anteriormente expuesto, funda</w:t>
      </w:r>
      <w:r>
        <w:rPr>
          <w:rFonts w:ascii="Arial" w:hAnsi="Arial" w:cs="Arial"/>
          <w:sz w:val="24"/>
          <w:szCs w:val="24"/>
        </w:rPr>
        <w:t>menta</w:t>
      </w:r>
      <w:r w:rsidRPr="003A0A1B">
        <w:rPr>
          <w:rFonts w:ascii="Arial" w:hAnsi="Arial" w:cs="Arial"/>
          <w:sz w:val="24"/>
          <w:szCs w:val="24"/>
        </w:rPr>
        <w:t>do y motivado, la Comisión de Atención a Grupos Vulnerables,</w:t>
      </w:r>
      <w:r>
        <w:rPr>
          <w:rFonts w:ascii="Arial" w:hAnsi="Arial" w:cs="Arial"/>
          <w:sz w:val="24"/>
          <w:szCs w:val="24"/>
        </w:rPr>
        <w:t xml:space="preserve"> </w:t>
      </w:r>
      <w:r w:rsidR="00426F3E">
        <w:rPr>
          <w:rFonts w:ascii="Arial" w:hAnsi="Arial" w:cs="Arial"/>
          <w:sz w:val="24"/>
          <w:szCs w:val="24"/>
        </w:rPr>
        <w:t>acuerda</w:t>
      </w:r>
      <w:r w:rsidRPr="003A0A1B">
        <w:rPr>
          <w:rFonts w:ascii="Arial" w:hAnsi="Arial" w:cs="Arial"/>
          <w:sz w:val="24"/>
          <w:szCs w:val="24"/>
        </w:rPr>
        <w:t>:</w:t>
      </w:r>
    </w:p>
    <w:p w:rsidR="003F493D" w:rsidRDefault="003F493D" w:rsidP="003966FA">
      <w:pPr>
        <w:spacing w:after="0" w:line="240" w:lineRule="auto"/>
        <w:jc w:val="both"/>
        <w:rPr>
          <w:rFonts w:ascii="Arial" w:hAnsi="Arial" w:cs="Arial"/>
          <w:b/>
          <w:sz w:val="24"/>
          <w:szCs w:val="24"/>
        </w:rPr>
      </w:pPr>
    </w:p>
    <w:p w:rsidR="00132847" w:rsidRPr="00AE656B" w:rsidRDefault="00132847" w:rsidP="003966FA">
      <w:pPr>
        <w:spacing w:after="0" w:line="240" w:lineRule="auto"/>
        <w:jc w:val="both"/>
        <w:rPr>
          <w:rFonts w:ascii="Arial" w:hAnsi="Arial" w:cs="Arial"/>
          <w:b/>
          <w:sz w:val="24"/>
          <w:szCs w:val="24"/>
        </w:rPr>
      </w:pPr>
    </w:p>
    <w:p w:rsidR="00D41D75" w:rsidRPr="00AE656B" w:rsidRDefault="00BA0102" w:rsidP="003966FA">
      <w:pPr>
        <w:spacing w:after="0" w:line="240" w:lineRule="auto"/>
        <w:jc w:val="both"/>
        <w:rPr>
          <w:rFonts w:ascii="Arial" w:eastAsia="Calibri" w:hAnsi="Arial" w:cs="Arial"/>
          <w:sz w:val="24"/>
          <w:szCs w:val="24"/>
        </w:rPr>
      </w:pPr>
      <w:r w:rsidRPr="00AE656B">
        <w:rPr>
          <w:rFonts w:ascii="Arial" w:eastAsia="Times New Roman" w:hAnsi="Arial" w:cs="Arial"/>
          <w:b/>
          <w:bCs/>
          <w:sz w:val="24"/>
          <w:szCs w:val="24"/>
          <w:lang w:eastAsia="es-MX"/>
        </w:rPr>
        <w:t>ÚNICO</w:t>
      </w:r>
      <w:r w:rsidR="00FA23D0" w:rsidRPr="00AE656B">
        <w:rPr>
          <w:rFonts w:ascii="Arial" w:eastAsia="Times New Roman" w:hAnsi="Arial" w:cs="Arial"/>
          <w:b/>
          <w:bCs/>
          <w:sz w:val="24"/>
          <w:szCs w:val="24"/>
          <w:lang w:eastAsia="es-MX"/>
        </w:rPr>
        <w:t>:</w:t>
      </w:r>
      <w:r w:rsidR="00FA23D0" w:rsidRPr="00AE656B">
        <w:rPr>
          <w:rFonts w:ascii="Arial" w:eastAsia="Times New Roman" w:hAnsi="Arial" w:cs="Arial"/>
          <w:sz w:val="24"/>
          <w:szCs w:val="24"/>
          <w:lang w:eastAsia="es-MX"/>
        </w:rPr>
        <w:t> </w:t>
      </w:r>
      <w:r w:rsidR="00DC0276">
        <w:rPr>
          <w:rFonts w:ascii="Arial" w:eastAsia="Times New Roman" w:hAnsi="Arial" w:cs="Arial"/>
          <w:sz w:val="24"/>
          <w:szCs w:val="24"/>
          <w:lang w:eastAsia="es-MX"/>
        </w:rPr>
        <w:t>Se desecha la Iniciativa con Proyecto de Decreto</w:t>
      </w:r>
      <w:r w:rsidR="002C737C">
        <w:rPr>
          <w:rFonts w:ascii="Arial" w:eastAsia="Times New Roman" w:hAnsi="Arial" w:cs="Arial"/>
          <w:sz w:val="24"/>
          <w:szCs w:val="24"/>
          <w:lang w:eastAsia="es-MX"/>
        </w:rPr>
        <w:t xml:space="preserve"> que Adiciona el Capítulo III al Título Sexto de la Le de los Derechos de las Personas Adultas Mayores </w:t>
      </w:r>
    </w:p>
    <w:p w:rsidR="00266046" w:rsidRPr="003F25F3" w:rsidRDefault="00266046" w:rsidP="003966FA">
      <w:pPr>
        <w:spacing w:after="0" w:line="240" w:lineRule="auto"/>
        <w:jc w:val="both"/>
        <w:rPr>
          <w:rFonts w:ascii="Arial" w:hAnsi="Arial" w:cs="Arial"/>
          <w:sz w:val="24"/>
          <w:szCs w:val="24"/>
        </w:rPr>
      </w:pPr>
    </w:p>
    <w:p w:rsidR="00266046" w:rsidRPr="003F25F3" w:rsidRDefault="00266046" w:rsidP="003966FA">
      <w:pPr>
        <w:spacing w:after="0" w:line="240" w:lineRule="auto"/>
        <w:jc w:val="both"/>
        <w:rPr>
          <w:rFonts w:ascii="Arial" w:hAnsi="Arial" w:cs="Arial"/>
          <w:sz w:val="24"/>
          <w:szCs w:val="24"/>
        </w:rPr>
      </w:pPr>
      <w:r w:rsidRPr="003F25F3">
        <w:rPr>
          <w:rFonts w:ascii="Arial" w:hAnsi="Arial" w:cs="Arial"/>
          <w:sz w:val="24"/>
          <w:szCs w:val="24"/>
        </w:rPr>
        <w:t>Dado en el Pal</w:t>
      </w:r>
      <w:r w:rsidR="003966FA">
        <w:rPr>
          <w:rFonts w:ascii="Arial" w:hAnsi="Arial" w:cs="Arial"/>
          <w:sz w:val="24"/>
          <w:szCs w:val="24"/>
        </w:rPr>
        <w:t xml:space="preserve">acio Legislativo de San Lázaro, </w:t>
      </w:r>
      <w:r>
        <w:rPr>
          <w:rFonts w:ascii="Arial" w:hAnsi="Arial" w:cs="Arial"/>
          <w:sz w:val="24"/>
          <w:szCs w:val="24"/>
        </w:rPr>
        <w:t>a 3</w:t>
      </w:r>
      <w:r w:rsidRPr="003F25F3">
        <w:rPr>
          <w:rFonts w:ascii="Arial" w:hAnsi="Arial" w:cs="Arial"/>
          <w:sz w:val="24"/>
          <w:szCs w:val="24"/>
        </w:rPr>
        <w:t xml:space="preserve"> de </w:t>
      </w:r>
      <w:r>
        <w:rPr>
          <w:rFonts w:ascii="Arial" w:hAnsi="Arial" w:cs="Arial"/>
          <w:sz w:val="24"/>
          <w:szCs w:val="24"/>
        </w:rPr>
        <w:t>febrero de 2016</w:t>
      </w:r>
      <w:r w:rsidRPr="003F25F3">
        <w:rPr>
          <w:rFonts w:ascii="Arial" w:hAnsi="Arial" w:cs="Arial"/>
          <w:sz w:val="24"/>
          <w:szCs w:val="24"/>
        </w:rPr>
        <w:t>.</w:t>
      </w:r>
    </w:p>
    <w:p w:rsidR="00266046" w:rsidRPr="003F25F3" w:rsidRDefault="00266046" w:rsidP="003966FA">
      <w:pPr>
        <w:spacing w:after="0" w:line="240" w:lineRule="auto"/>
        <w:jc w:val="both"/>
        <w:rPr>
          <w:rFonts w:ascii="Arial" w:hAnsi="Arial" w:cs="Arial"/>
          <w:sz w:val="24"/>
          <w:szCs w:val="24"/>
        </w:rPr>
      </w:pPr>
    </w:p>
    <w:p w:rsidR="00266046" w:rsidRPr="003F25F3" w:rsidRDefault="00266046" w:rsidP="003966FA">
      <w:pPr>
        <w:spacing w:after="0" w:line="240" w:lineRule="auto"/>
        <w:jc w:val="both"/>
        <w:rPr>
          <w:rFonts w:ascii="Arial" w:hAnsi="Arial" w:cs="Arial"/>
          <w:sz w:val="24"/>
          <w:szCs w:val="24"/>
        </w:rPr>
      </w:pPr>
      <w:r w:rsidRPr="003F25F3">
        <w:rPr>
          <w:rFonts w:ascii="Arial" w:hAnsi="Arial" w:cs="Arial"/>
          <w:sz w:val="24"/>
          <w:szCs w:val="24"/>
        </w:rPr>
        <w:t>Signan el presente dictamen los diputados integrantes de la Comisión de Atención a Grupos Vulnerables.</w:t>
      </w:r>
    </w:p>
    <w:p w:rsidR="00ED3DB4" w:rsidRPr="00AE656B" w:rsidRDefault="00ED3DB4" w:rsidP="003966FA">
      <w:pPr>
        <w:spacing w:after="0" w:line="240" w:lineRule="auto"/>
        <w:rPr>
          <w:rFonts w:ascii="Arial" w:hAnsi="Arial" w:cs="Arial"/>
          <w:sz w:val="24"/>
          <w:szCs w:val="24"/>
        </w:rPr>
      </w:pPr>
    </w:p>
    <w:sectPr w:rsidR="00ED3DB4" w:rsidRPr="00AE656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9D" w:rsidRDefault="001D339D" w:rsidP="00A30A0F">
      <w:pPr>
        <w:spacing w:after="0" w:line="240" w:lineRule="auto"/>
      </w:pPr>
      <w:r>
        <w:separator/>
      </w:r>
    </w:p>
  </w:endnote>
  <w:endnote w:type="continuationSeparator" w:id="0">
    <w:p w:rsidR="001D339D" w:rsidRDefault="001D339D" w:rsidP="00A3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FA" w:rsidRDefault="003966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4"/>
        <w:szCs w:val="14"/>
        <w:lang w:val="es-ES"/>
      </w:rPr>
      <w:id w:val="541564456"/>
      <w:docPartObj>
        <w:docPartGallery w:val="Page Numbers (Bottom of Page)"/>
        <w:docPartUnique/>
      </w:docPartObj>
    </w:sdtPr>
    <w:sdtEndPr>
      <w:rPr>
        <w:lang w:val="es-MX"/>
      </w:rPr>
    </w:sdtEndPr>
    <w:sdtContent>
      <w:p w:rsidR="00132847" w:rsidRPr="00132847" w:rsidRDefault="00132847">
        <w:pPr>
          <w:pStyle w:val="Piedepgina"/>
          <w:jc w:val="right"/>
          <w:rPr>
            <w:rFonts w:asciiTheme="majorHAnsi" w:eastAsiaTheme="majorEastAsia" w:hAnsiTheme="majorHAnsi" w:cstheme="majorBidi"/>
            <w:sz w:val="14"/>
            <w:szCs w:val="14"/>
          </w:rPr>
        </w:pPr>
        <w:r w:rsidRPr="00132847">
          <w:rPr>
            <w:rFonts w:asciiTheme="majorHAnsi" w:eastAsiaTheme="majorEastAsia" w:hAnsiTheme="majorHAnsi" w:cstheme="majorBidi"/>
            <w:sz w:val="14"/>
            <w:szCs w:val="14"/>
            <w:lang w:val="es-ES"/>
          </w:rPr>
          <w:t xml:space="preserve">pág. </w:t>
        </w:r>
        <w:r w:rsidRPr="00132847">
          <w:rPr>
            <w:rFonts w:eastAsiaTheme="minorEastAsia" w:cs="Times New Roman"/>
            <w:sz w:val="14"/>
            <w:szCs w:val="14"/>
          </w:rPr>
          <w:fldChar w:fldCharType="begin"/>
        </w:r>
        <w:r w:rsidRPr="00132847">
          <w:rPr>
            <w:sz w:val="14"/>
            <w:szCs w:val="14"/>
          </w:rPr>
          <w:instrText>PAGE    \* MERGEFORMAT</w:instrText>
        </w:r>
        <w:r w:rsidRPr="00132847">
          <w:rPr>
            <w:rFonts w:eastAsiaTheme="minorEastAsia" w:cs="Times New Roman"/>
            <w:sz w:val="14"/>
            <w:szCs w:val="14"/>
          </w:rPr>
          <w:fldChar w:fldCharType="separate"/>
        </w:r>
        <w:r w:rsidR="003966FA" w:rsidRPr="003966FA">
          <w:rPr>
            <w:rFonts w:asciiTheme="majorHAnsi" w:eastAsiaTheme="majorEastAsia" w:hAnsiTheme="majorHAnsi" w:cstheme="majorBidi"/>
            <w:noProof/>
            <w:sz w:val="14"/>
            <w:szCs w:val="14"/>
            <w:lang w:val="es-ES"/>
          </w:rPr>
          <w:t>1</w:t>
        </w:r>
        <w:r w:rsidRPr="00132847">
          <w:rPr>
            <w:rFonts w:asciiTheme="majorHAnsi" w:eastAsiaTheme="majorEastAsia" w:hAnsiTheme="majorHAnsi" w:cstheme="majorBidi"/>
            <w:sz w:val="14"/>
            <w:szCs w:val="14"/>
          </w:rPr>
          <w:fldChar w:fldCharType="end"/>
        </w:r>
      </w:p>
    </w:sdtContent>
  </w:sdt>
  <w:p w:rsidR="008D10EA" w:rsidRDefault="008D10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FA" w:rsidRDefault="003966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9D" w:rsidRDefault="001D339D" w:rsidP="00A30A0F">
      <w:pPr>
        <w:spacing w:after="0" w:line="240" w:lineRule="auto"/>
      </w:pPr>
      <w:r>
        <w:separator/>
      </w:r>
    </w:p>
  </w:footnote>
  <w:footnote w:type="continuationSeparator" w:id="0">
    <w:p w:rsidR="001D339D" w:rsidRDefault="001D339D" w:rsidP="00A3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FA" w:rsidRDefault="00396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FA" w:rsidRDefault="003966FA" w:rsidP="003966FA">
    <w:pPr>
      <w:spacing w:after="0" w:line="240" w:lineRule="auto"/>
      <w:jc w:val="center"/>
      <w:rPr>
        <w:b/>
        <w:sz w:val="28"/>
        <w:szCs w:val="32"/>
      </w:rPr>
    </w:pPr>
    <w:bookmarkStart w:id="0" w:name="_GoBack"/>
    <w:r w:rsidRPr="007A4FE1">
      <w:rPr>
        <w:b/>
        <w:sz w:val="28"/>
        <w:szCs w:val="32"/>
      </w:rPr>
      <w:t>COMISI</w:t>
    </w:r>
    <w:r>
      <w:rPr>
        <w:b/>
        <w:sz w:val="28"/>
        <w:szCs w:val="32"/>
      </w:rPr>
      <w:t>ÓN</w:t>
    </w:r>
    <w:r w:rsidRPr="007A4FE1">
      <w:rPr>
        <w:b/>
        <w:sz w:val="28"/>
        <w:szCs w:val="32"/>
      </w:rPr>
      <w:t xml:space="preserve"> DE ATENCIÓN A GRUPOS VULNERABLES</w:t>
    </w:r>
  </w:p>
  <w:p w:rsidR="003966FA" w:rsidRDefault="003966FA" w:rsidP="003966FA">
    <w:pPr>
      <w:spacing w:after="0" w:line="240" w:lineRule="auto"/>
      <w:jc w:val="center"/>
      <w:rPr>
        <w:b/>
        <w:sz w:val="20"/>
        <w:szCs w:val="20"/>
      </w:rPr>
    </w:pPr>
  </w:p>
  <w:p w:rsidR="003966FA" w:rsidRDefault="003966FA" w:rsidP="003966FA">
    <w:pPr>
      <w:spacing w:after="0" w:line="240" w:lineRule="auto"/>
      <w:jc w:val="center"/>
      <w:rPr>
        <w:b/>
        <w:sz w:val="20"/>
        <w:szCs w:val="20"/>
      </w:rPr>
    </w:pPr>
  </w:p>
  <w:tbl>
    <w:tblPr>
      <w:tblStyle w:val="Tablaconcuadrc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3966FA" w:rsidTr="002229A2">
      <w:tc>
        <w:tcPr>
          <w:tcW w:w="4438" w:type="dxa"/>
        </w:tcPr>
        <w:p w:rsidR="003966FA" w:rsidRDefault="003966FA" w:rsidP="003966FA">
          <w:pPr>
            <w:jc w:val="both"/>
            <w:rPr>
              <w:b/>
              <w:sz w:val="20"/>
              <w:szCs w:val="20"/>
            </w:rPr>
          </w:pPr>
          <w:r w:rsidRPr="003966FA">
            <w:rPr>
              <w:rFonts w:ascii="Arial" w:hAnsi="Arial" w:cs="Arial"/>
              <w:b/>
              <w:sz w:val="16"/>
              <w:szCs w:val="16"/>
            </w:rPr>
            <w:t>DICTAMEN A LA INICIATIVA CON PROYECTO DE DECRETO QUE ADICIONA EL CAPITULO III AL TITULO SEXTO DE LA LEY DE LOS DERECHOS DE LAS PERSONAS ADULTAS MAYORES A CARGO DEL DIPUTADO JOSÉ LUIS OROZCO SÁNCHEZ ALDANA DEL GRUPO PARLAMENTARIO DEL PARTIDO REVOLUCIONARIO INSTITUCIONAL</w:t>
          </w:r>
          <w:r>
            <w:rPr>
              <w:rFonts w:ascii="Arial" w:hAnsi="Arial" w:cs="Arial"/>
              <w:sz w:val="16"/>
              <w:szCs w:val="16"/>
            </w:rPr>
            <w:t>.</w:t>
          </w:r>
        </w:p>
      </w:tc>
    </w:tr>
  </w:tbl>
  <w:p w:rsidR="003966FA" w:rsidRDefault="003966FA" w:rsidP="003966FA">
    <w:pPr>
      <w:spacing w:after="0" w:line="240" w:lineRule="auto"/>
      <w:jc w:val="center"/>
      <w:rPr>
        <w:b/>
        <w:sz w:val="20"/>
        <w:szCs w:val="20"/>
      </w:rPr>
    </w:pPr>
  </w:p>
  <w:bookmarkEnd w:id="0"/>
  <w:p w:rsidR="003966FA" w:rsidRPr="00D40633" w:rsidRDefault="003966FA" w:rsidP="003966FA">
    <w:pPr>
      <w:spacing w:after="0" w:line="240" w:lineRule="auto"/>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FA" w:rsidRDefault="003966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333"/>
    <w:multiLevelType w:val="hybridMultilevel"/>
    <w:tmpl w:val="B08C5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FD0270"/>
    <w:multiLevelType w:val="hybridMultilevel"/>
    <w:tmpl w:val="F2D2FB96"/>
    <w:lvl w:ilvl="0" w:tplc="A756121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005984"/>
    <w:rsid w:val="00007A8D"/>
    <w:rsid w:val="0001625D"/>
    <w:rsid w:val="000354BB"/>
    <w:rsid w:val="000B7AA7"/>
    <w:rsid w:val="000D6FDC"/>
    <w:rsid w:val="00106CAE"/>
    <w:rsid w:val="0011260B"/>
    <w:rsid w:val="00117A20"/>
    <w:rsid w:val="00127206"/>
    <w:rsid w:val="0012789B"/>
    <w:rsid w:val="00127D7C"/>
    <w:rsid w:val="00132847"/>
    <w:rsid w:val="001439F6"/>
    <w:rsid w:val="001465C9"/>
    <w:rsid w:val="001569B1"/>
    <w:rsid w:val="00163117"/>
    <w:rsid w:val="00174FCA"/>
    <w:rsid w:val="001814A1"/>
    <w:rsid w:val="00190CCA"/>
    <w:rsid w:val="001943EC"/>
    <w:rsid w:val="001975F2"/>
    <w:rsid w:val="001A615C"/>
    <w:rsid w:val="001A7F77"/>
    <w:rsid w:val="001D339D"/>
    <w:rsid w:val="001D3A44"/>
    <w:rsid w:val="001F6E52"/>
    <w:rsid w:val="002102D6"/>
    <w:rsid w:val="002153BB"/>
    <w:rsid w:val="00233138"/>
    <w:rsid w:val="00266046"/>
    <w:rsid w:val="00276160"/>
    <w:rsid w:val="002838D4"/>
    <w:rsid w:val="002A0182"/>
    <w:rsid w:val="002A5F30"/>
    <w:rsid w:val="002B6565"/>
    <w:rsid w:val="002C737C"/>
    <w:rsid w:val="002E219F"/>
    <w:rsid w:val="002E5E8D"/>
    <w:rsid w:val="003060EB"/>
    <w:rsid w:val="003206D7"/>
    <w:rsid w:val="00342002"/>
    <w:rsid w:val="00343410"/>
    <w:rsid w:val="003639B5"/>
    <w:rsid w:val="003966FA"/>
    <w:rsid w:val="003A0A1B"/>
    <w:rsid w:val="003B3029"/>
    <w:rsid w:val="003B5040"/>
    <w:rsid w:val="003C0C5B"/>
    <w:rsid w:val="003D54B9"/>
    <w:rsid w:val="003E2CED"/>
    <w:rsid w:val="003F31C3"/>
    <w:rsid w:val="003F493D"/>
    <w:rsid w:val="00417321"/>
    <w:rsid w:val="00423E53"/>
    <w:rsid w:val="00426F3E"/>
    <w:rsid w:val="004314AD"/>
    <w:rsid w:val="004316F1"/>
    <w:rsid w:val="00431846"/>
    <w:rsid w:val="0044395C"/>
    <w:rsid w:val="004521DA"/>
    <w:rsid w:val="00456751"/>
    <w:rsid w:val="00466300"/>
    <w:rsid w:val="00485EAC"/>
    <w:rsid w:val="004D4725"/>
    <w:rsid w:val="00517008"/>
    <w:rsid w:val="005250E4"/>
    <w:rsid w:val="0054401C"/>
    <w:rsid w:val="00592393"/>
    <w:rsid w:val="005A29E1"/>
    <w:rsid w:val="005A6422"/>
    <w:rsid w:val="005B7706"/>
    <w:rsid w:val="005C1DF9"/>
    <w:rsid w:val="005F097D"/>
    <w:rsid w:val="005F7EA5"/>
    <w:rsid w:val="00627B0C"/>
    <w:rsid w:val="00641133"/>
    <w:rsid w:val="00651096"/>
    <w:rsid w:val="0066064B"/>
    <w:rsid w:val="00675C02"/>
    <w:rsid w:val="00693B64"/>
    <w:rsid w:val="006B2F3F"/>
    <w:rsid w:val="006C18CC"/>
    <w:rsid w:val="006D24EC"/>
    <w:rsid w:val="006E0F92"/>
    <w:rsid w:val="006F57D9"/>
    <w:rsid w:val="00703561"/>
    <w:rsid w:val="007217C9"/>
    <w:rsid w:val="007342E0"/>
    <w:rsid w:val="00757609"/>
    <w:rsid w:val="0076485B"/>
    <w:rsid w:val="00792480"/>
    <w:rsid w:val="007C07A6"/>
    <w:rsid w:val="007E2C15"/>
    <w:rsid w:val="007F0DDB"/>
    <w:rsid w:val="008053C2"/>
    <w:rsid w:val="008460DE"/>
    <w:rsid w:val="008551D3"/>
    <w:rsid w:val="008A12D5"/>
    <w:rsid w:val="008A444C"/>
    <w:rsid w:val="008B7C69"/>
    <w:rsid w:val="008C68D5"/>
    <w:rsid w:val="008D10EA"/>
    <w:rsid w:val="008E39F7"/>
    <w:rsid w:val="00962479"/>
    <w:rsid w:val="00964A06"/>
    <w:rsid w:val="00971206"/>
    <w:rsid w:val="009738A7"/>
    <w:rsid w:val="00981665"/>
    <w:rsid w:val="009B1B0B"/>
    <w:rsid w:val="009D7785"/>
    <w:rsid w:val="009E1887"/>
    <w:rsid w:val="009E28DE"/>
    <w:rsid w:val="00A30A0F"/>
    <w:rsid w:val="00A337BD"/>
    <w:rsid w:val="00A44462"/>
    <w:rsid w:val="00A44B4E"/>
    <w:rsid w:val="00A539B3"/>
    <w:rsid w:val="00A77095"/>
    <w:rsid w:val="00A84DFA"/>
    <w:rsid w:val="00AA4015"/>
    <w:rsid w:val="00AC3DD4"/>
    <w:rsid w:val="00AC533D"/>
    <w:rsid w:val="00AC65E6"/>
    <w:rsid w:val="00AC6A27"/>
    <w:rsid w:val="00AE32C0"/>
    <w:rsid w:val="00AE656B"/>
    <w:rsid w:val="00B10D9D"/>
    <w:rsid w:val="00B15D37"/>
    <w:rsid w:val="00B42650"/>
    <w:rsid w:val="00BA0102"/>
    <w:rsid w:val="00BA2E51"/>
    <w:rsid w:val="00BC19C8"/>
    <w:rsid w:val="00BE52F1"/>
    <w:rsid w:val="00BF2C0B"/>
    <w:rsid w:val="00C20E4C"/>
    <w:rsid w:val="00C35DF4"/>
    <w:rsid w:val="00C45EAC"/>
    <w:rsid w:val="00C75021"/>
    <w:rsid w:val="00C86C8D"/>
    <w:rsid w:val="00CB66CB"/>
    <w:rsid w:val="00CD3F6A"/>
    <w:rsid w:val="00CD4260"/>
    <w:rsid w:val="00CD64F8"/>
    <w:rsid w:val="00CD7899"/>
    <w:rsid w:val="00CE0B5D"/>
    <w:rsid w:val="00CE4D1F"/>
    <w:rsid w:val="00CF7024"/>
    <w:rsid w:val="00D23245"/>
    <w:rsid w:val="00D41D75"/>
    <w:rsid w:val="00D54944"/>
    <w:rsid w:val="00D549BA"/>
    <w:rsid w:val="00D574DF"/>
    <w:rsid w:val="00D755A1"/>
    <w:rsid w:val="00D94656"/>
    <w:rsid w:val="00D961B6"/>
    <w:rsid w:val="00D97ED5"/>
    <w:rsid w:val="00DA3BF5"/>
    <w:rsid w:val="00DC0276"/>
    <w:rsid w:val="00DE025D"/>
    <w:rsid w:val="00DF49A7"/>
    <w:rsid w:val="00E21726"/>
    <w:rsid w:val="00E337E6"/>
    <w:rsid w:val="00E373AA"/>
    <w:rsid w:val="00E4174F"/>
    <w:rsid w:val="00E8629C"/>
    <w:rsid w:val="00EA5B7B"/>
    <w:rsid w:val="00EB5458"/>
    <w:rsid w:val="00EC4BDD"/>
    <w:rsid w:val="00ED3DB4"/>
    <w:rsid w:val="00ED4EF3"/>
    <w:rsid w:val="00ED7252"/>
    <w:rsid w:val="00EF3A0C"/>
    <w:rsid w:val="00EF3A55"/>
    <w:rsid w:val="00F241AF"/>
    <w:rsid w:val="00F45A07"/>
    <w:rsid w:val="00F63DA9"/>
    <w:rsid w:val="00F673C6"/>
    <w:rsid w:val="00F825E8"/>
    <w:rsid w:val="00F85233"/>
    <w:rsid w:val="00FA23D0"/>
    <w:rsid w:val="00FA413E"/>
    <w:rsid w:val="00FA66F3"/>
    <w:rsid w:val="00FB5E92"/>
    <w:rsid w:val="00FB60CF"/>
    <w:rsid w:val="00FB6A4B"/>
    <w:rsid w:val="00FD38F8"/>
    <w:rsid w:val="00FE0405"/>
    <w:rsid w:val="00FE5EB8"/>
    <w:rsid w:val="00FF489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A0CE01-C235-452B-8D57-1A9168E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726"/>
    <w:pPr>
      <w:ind w:left="720"/>
      <w:contextualSpacing/>
    </w:pPr>
  </w:style>
  <w:style w:type="paragraph" w:styleId="Encabezado">
    <w:name w:val="header"/>
    <w:basedOn w:val="Normal"/>
    <w:link w:val="EncabezadoCar"/>
    <w:uiPriority w:val="99"/>
    <w:unhideWhenUsed/>
    <w:rsid w:val="00A30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A0F"/>
  </w:style>
  <w:style w:type="paragraph" w:styleId="Piedepgina">
    <w:name w:val="footer"/>
    <w:basedOn w:val="Normal"/>
    <w:link w:val="PiedepginaCar"/>
    <w:uiPriority w:val="99"/>
    <w:unhideWhenUsed/>
    <w:rsid w:val="00A30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A0F"/>
  </w:style>
  <w:style w:type="paragraph" w:styleId="Textodeglobo">
    <w:name w:val="Balloon Text"/>
    <w:basedOn w:val="Normal"/>
    <w:link w:val="TextodegloboCar"/>
    <w:uiPriority w:val="99"/>
    <w:semiHidden/>
    <w:unhideWhenUsed/>
    <w:rsid w:val="00AC65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65E6"/>
    <w:rPr>
      <w:rFonts w:ascii="Lucida Grande" w:hAnsi="Lucida Grande" w:cs="Lucida Grande"/>
      <w:sz w:val="18"/>
      <w:szCs w:val="18"/>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qFormat/>
    <w:rsid w:val="00FB60C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rsid w:val="00FB60CF"/>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
    <w:rsid w:val="00FB60CF"/>
    <w:rPr>
      <w:vertAlign w:val="superscript"/>
    </w:rPr>
  </w:style>
  <w:style w:type="paragraph" w:customStyle="1" w:styleId="TEXTONORMAL">
    <w:name w:val="TEXTO NORMAL"/>
    <w:basedOn w:val="Normal"/>
    <w:link w:val="TEXTONORMALCar"/>
    <w:rsid w:val="00FB60CF"/>
    <w:pPr>
      <w:spacing w:after="0" w:line="360" w:lineRule="auto"/>
      <w:ind w:firstLine="709"/>
      <w:jc w:val="both"/>
    </w:pPr>
    <w:rPr>
      <w:rFonts w:ascii="Arial" w:eastAsia="Times New Roman" w:hAnsi="Arial" w:cs="Times New Roman"/>
      <w:sz w:val="28"/>
      <w:szCs w:val="20"/>
      <w:lang w:eastAsia="es-ES"/>
    </w:rPr>
  </w:style>
  <w:style w:type="character" w:customStyle="1" w:styleId="TEXTONORMALCar">
    <w:name w:val="TEXTO NORMAL Car"/>
    <w:link w:val="TEXTONORMAL"/>
    <w:locked/>
    <w:rsid w:val="00FB60CF"/>
    <w:rPr>
      <w:rFonts w:ascii="Arial" w:eastAsia="Times New Roman" w:hAnsi="Arial" w:cs="Times New Roman"/>
      <w:sz w:val="28"/>
      <w:szCs w:val="20"/>
      <w:lang w:eastAsia="es-ES"/>
    </w:rPr>
  </w:style>
  <w:style w:type="character" w:styleId="Hipervnculo">
    <w:name w:val="Hyperlink"/>
    <w:uiPriority w:val="99"/>
    <w:unhideWhenUsed/>
    <w:rsid w:val="00FB60CF"/>
    <w:rPr>
      <w:color w:val="0000FF"/>
      <w:u w:val="single"/>
    </w:rPr>
  </w:style>
  <w:style w:type="character" w:customStyle="1" w:styleId="apple-converted-space">
    <w:name w:val="apple-converted-space"/>
    <w:basedOn w:val="Fuentedeprrafopredeter"/>
    <w:rsid w:val="00431846"/>
  </w:style>
  <w:style w:type="table" w:styleId="Tablaconcuadrcula">
    <w:name w:val="Table Grid"/>
    <w:basedOn w:val="Tablanormal"/>
    <w:uiPriority w:val="59"/>
    <w:rsid w:val="0075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r">
    <w:name w:val="centrar"/>
    <w:basedOn w:val="Normal"/>
    <w:rsid w:val="000D6F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D6F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D6FDC"/>
  </w:style>
  <w:style w:type="paragraph" w:customStyle="1" w:styleId="sangria">
    <w:name w:val="sangria"/>
    <w:basedOn w:val="Normal"/>
    <w:rsid w:val="004316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5587">
      <w:bodyDiv w:val="1"/>
      <w:marLeft w:val="0"/>
      <w:marRight w:val="0"/>
      <w:marTop w:val="0"/>
      <w:marBottom w:val="0"/>
      <w:divBdr>
        <w:top w:val="none" w:sz="0" w:space="0" w:color="auto"/>
        <w:left w:val="none" w:sz="0" w:space="0" w:color="auto"/>
        <w:bottom w:val="none" w:sz="0" w:space="0" w:color="auto"/>
        <w:right w:val="none" w:sz="0" w:space="0" w:color="auto"/>
      </w:divBdr>
    </w:div>
    <w:div w:id="310209755">
      <w:bodyDiv w:val="1"/>
      <w:marLeft w:val="0"/>
      <w:marRight w:val="0"/>
      <w:marTop w:val="0"/>
      <w:marBottom w:val="0"/>
      <w:divBdr>
        <w:top w:val="none" w:sz="0" w:space="0" w:color="auto"/>
        <w:left w:val="none" w:sz="0" w:space="0" w:color="auto"/>
        <w:bottom w:val="none" w:sz="0" w:space="0" w:color="auto"/>
        <w:right w:val="none" w:sz="0" w:space="0" w:color="auto"/>
      </w:divBdr>
    </w:div>
    <w:div w:id="404255684">
      <w:bodyDiv w:val="1"/>
      <w:marLeft w:val="0"/>
      <w:marRight w:val="0"/>
      <w:marTop w:val="0"/>
      <w:marBottom w:val="0"/>
      <w:divBdr>
        <w:top w:val="none" w:sz="0" w:space="0" w:color="auto"/>
        <w:left w:val="none" w:sz="0" w:space="0" w:color="auto"/>
        <w:bottom w:val="none" w:sz="0" w:space="0" w:color="auto"/>
        <w:right w:val="none" w:sz="0" w:space="0" w:color="auto"/>
      </w:divBdr>
    </w:div>
    <w:div w:id="941108271">
      <w:bodyDiv w:val="1"/>
      <w:marLeft w:val="0"/>
      <w:marRight w:val="0"/>
      <w:marTop w:val="0"/>
      <w:marBottom w:val="0"/>
      <w:divBdr>
        <w:top w:val="none" w:sz="0" w:space="0" w:color="auto"/>
        <w:left w:val="none" w:sz="0" w:space="0" w:color="auto"/>
        <w:bottom w:val="none" w:sz="0" w:space="0" w:color="auto"/>
        <w:right w:val="none" w:sz="0" w:space="0" w:color="auto"/>
      </w:divBdr>
    </w:div>
    <w:div w:id="1244874108">
      <w:bodyDiv w:val="1"/>
      <w:marLeft w:val="0"/>
      <w:marRight w:val="0"/>
      <w:marTop w:val="0"/>
      <w:marBottom w:val="0"/>
      <w:divBdr>
        <w:top w:val="none" w:sz="0" w:space="0" w:color="auto"/>
        <w:left w:val="none" w:sz="0" w:space="0" w:color="auto"/>
        <w:bottom w:val="none" w:sz="0" w:space="0" w:color="auto"/>
        <w:right w:val="none" w:sz="0" w:space="0" w:color="auto"/>
      </w:divBdr>
    </w:div>
    <w:div w:id="1358309331">
      <w:bodyDiv w:val="1"/>
      <w:marLeft w:val="0"/>
      <w:marRight w:val="0"/>
      <w:marTop w:val="0"/>
      <w:marBottom w:val="0"/>
      <w:divBdr>
        <w:top w:val="none" w:sz="0" w:space="0" w:color="auto"/>
        <w:left w:val="none" w:sz="0" w:space="0" w:color="auto"/>
        <w:bottom w:val="none" w:sz="0" w:space="0" w:color="auto"/>
        <w:right w:val="none" w:sz="0" w:space="0" w:color="auto"/>
      </w:divBdr>
    </w:div>
    <w:div w:id="1722168471">
      <w:bodyDiv w:val="1"/>
      <w:marLeft w:val="0"/>
      <w:marRight w:val="0"/>
      <w:marTop w:val="0"/>
      <w:marBottom w:val="0"/>
      <w:divBdr>
        <w:top w:val="none" w:sz="0" w:space="0" w:color="auto"/>
        <w:left w:val="none" w:sz="0" w:space="0" w:color="auto"/>
        <w:bottom w:val="none" w:sz="0" w:space="0" w:color="auto"/>
        <w:right w:val="none" w:sz="0" w:space="0" w:color="auto"/>
      </w:divBdr>
    </w:div>
    <w:div w:id="1860853230">
      <w:bodyDiv w:val="1"/>
      <w:marLeft w:val="0"/>
      <w:marRight w:val="0"/>
      <w:marTop w:val="0"/>
      <w:marBottom w:val="0"/>
      <w:divBdr>
        <w:top w:val="none" w:sz="0" w:space="0" w:color="auto"/>
        <w:left w:val="none" w:sz="0" w:space="0" w:color="auto"/>
        <w:bottom w:val="none" w:sz="0" w:space="0" w:color="auto"/>
        <w:right w:val="none" w:sz="0" w:space="0" w:color="auto"/>
      </w:divBdr>
    </w:div>
    <w:div w:id="20959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AB"/>
    <w:rsid w:val="009179C2"/>
    <w:rsid w:val="00FF3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14F212D38F44808444F21042321794">
    <w:name w:val="3714F212D38F44808444F21042321794"/>
    <w:rsid w:val="00FF3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CEP07</b:Tag>
    <b:SourceType>DocumentFromInternetSite</b:SourceType>
    <b:Guid>{96DF8467-A694-B645-85CE-01A6923C6A6A}</b:Guid>
    <b:Title>Declaración de Brasilia</b:Title>
    <b:Year>2007</b:Year>
    <b:Author>
      <b:Author>
        <b:NameList>
          <b:Person>
            <b:Last>CEPAL</b:Last>
          </b:Person>
        </b:NameList>
      </b:Author>
    </b:Author>
    <b:InternetSiteTitle>Declaración de Brasilia</b:InternetSiteTitle>
    <b:URL>http://www.cepal.org/publicaciones/xml/0/32460/lcg2359_e.pdf</b:URL>
    <b:Month>Diciembre</b:Month>
    <b:Day>4-6</b:Day>
    <b:RefOrder>1</b:RefOrder>
  </b:Source>
  <b:Source>
    <b:Tag>Mar13</b:Tag>
    <b:SourceType>DocumentFromInternetSite</b:SourceType>
    <b:Guid>{77E17966-9154-8243-A22D-EEE340A1D480}</b:Guid>
    <b:Author>
      <b:Author>
        <b:NameList>
          <b:Person>
            <b:Last>Dabove</b:Last>
            <b:First>María</b:First>
            <b:Middle>Isolina</b:Middle>
          </b:Person>
        </b:NameList>
      </b:Author>
    </b:Author>
    <b:Title>Revista de la Facultad</b:Title>
    <b:InternetSiteTitle>Universiad Nacional de Córdoba </b:InternetSiteTitle>
    <b:URL>http://revistas.unc.edu.ar/index.php/refade/article/viewFile/6008/7081</b:URL>
    <b:Year>2013</b:Year>
    <b:Month>Noviembre</b:Month>
    <b:Day>23</b:Day>
    <b:RefOrder>2</b:RefOrder>
  </b:Source>
</b:Sources>
</file>

<file path=customXml/itemProps1.xml><?xml version="1.0" encoding="utf-8"?>
<ds:datastoreItem xmlns:ds="http://schemas.openxmlformats.org/officeDocument/2006/customXml" ds:itemID="{B742F88B-4393-41BB-A153-F7974868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c:creator>
  <cp:lastModifiedBy>Usuario</cp:lastModifiedBy>
  <cp:revision>4</cp:revision>
  <cp:lastPrinted>2016-02-02T21:00:00Z</cp:lastPrinted>
  <dcterms:created xsi:type="dcterms:W3CDTF">2016-01-28T01:43:00Z</dcterms:created>
  <dcterms:modified xsi:type="dcterms:W3CDTF">2016-02-02T21:03:00Z</dcterms:modified>
</cp:coreProperties>
</file>